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уторного уголка (элемента жёсткости) по периметру верха стенки и его приварка; раскатка и подъём полотен крыши, сборка развёрнутого конуса, сварка монтажного стыка крыши и сопряжения крыши со стенкой, зачистка швов, устранение выявленных дефектов. Крыша бескаркасная коническая, уклон 30°, Ø 8530 мм, толщина 5 мм, два полотна рулонной сборки.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5.1 «Крыша резервуара. Развёртка оболочки», лист 5.2 «Узлы 1, 2»;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уголок L75×6 09Г2С-сб ГОСТ 8509-93 (уторный уголок);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швов кровли (100 %); журнал сварочных работ. Контроль герметичности швов кровли избыточным давлением воздуха 2 кПа выполняется в процессе гидравлического испытания (отдельный акт).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табл. 13); СП 365.1325800.2017; ГОСТ 5264-80; ГОСТ 14771-76; ППР (разд. 6, 7).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стенке и крыше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