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 (ЗАКЛЮЧЕНИЕ)</w:t>
        <w:br/>
        <w:t>визуально-измерительного контроля сварных соединений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Визуально-измерительный контроль выполнен в объёме 100 % длины всех сварных соединений в соответствии с РД 03-606-03 и ГОСТ 31385-2023 (табл. 13). Перед контролем шов и прилегающие участки очищены на ширину 20 мм по обе стороны от оси шва.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Результаты контроля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3884"/>
        <w:gridCol w:w="1689"/>
        <w:gridCol w:w="1435"/>
        <w:gridCol w:w="1689"/>
        <w:gridCol w:w="1857"/>
        <w:gridCol w:w="2871"/>
        <w:gridCol w:w="1520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8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Обозначение (зона) сварного соединения</w:t>
            </w:r>
          </w:p>
        </w:tc>
        <w:tc>
          <w:tcPr>
            <w:tcW w:type="dxa" w:w="16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 шва</w:t>
            </w:r>
          </w:p>
        </w:tc>
        <w:tc>
          <w:tcPr>
            <w:tcW w:type="dxa" w:w="14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Толщина, мм</w:t>
            </w:r>
          </w:p>
        </w:tc>
        <w:tc>
          <w:tcPr>
            <w:tcW w:type="dxa" w:w="16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Длина шва, мм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 сварщика</w:t>
            </w:r>
          </w:p>
        </w:tc>
        <w:tc>
          <w:tcPr>
            <w:tcW w:type="dxa" w:w="2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Выявленные дефекты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Оценка</w:t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Нормы оценки (ППР, листы 18, 19, 33; ГОСТ 31385-2023)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не допускаются: трещины всех видов и направлений, несплавления, наплывы, прожоги, свищи, незаваренные кратеры, наружные поры и цепочки пор, грубая чешуйчатость;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смещение стыкуемых кромок — не более 10 % толщины наиболее тонкого листа (при t ≤ 10 мм — не более 1,0 мм);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подрезы: вертикальные поясные швы и соединение стенки с днищем — до 0,2 мм; горизонтальные швы между поясами — до 0,3 мм; прочие соединения — до 5 % толщины, но не более 0,5 мм; длина подреза — не более 10 % длины шва;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выпуклость (усиление) стыковых швов: вертикальные соединения стенки при t ≤ 12 мм — не более 1,5 мм; прочие соединения при t ≤ 12 мм — не более 2,0 мм;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глубина и высота впадин при чешуйчатости — не более 1 мм; шов должен плавно сопрягаться с основным металлом.</w:t>
      </w:r>
    </w:p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сварные соединения удовлетворяют / не удовлетворяют требованиям РД 03-606-03, ГОСТ 31385-2023 и проектной документации.</w:t>
      </w:r>
    </w:p>
    <w:p>
      <w:pPr>
        <w:spacing w:before="0" w:after="20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Выявленные дефекты устранены по технологической карте на устранение дефектов, участки повторно проконтролированы (акт № ______ от ____________).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визуально-измерительного контроля (уровень,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лаборатории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