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уторного уголка (элемента жёсткости) по периметру верха стенки и его приварка; раскатка и подъём полотен крыши, сборка развёрнутого конуса, сварка монтажного стыка крыши и сопряжения крыши со стенкой, зачистка швов, устранение выявленных дефектов. Крыша бескаркасная коническая, уклон 30°, Ø 8530 мм, толщина 5 мм, два полотна рулонной сборки.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5.1 «Крыша резервуара. Развёртка оболочки», лист 5.2 «Узлы 1, 2»;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19281-2014, t = 5 мм; уголок L75×6 09Г2С-сб ГОСТ 8509-93 (уторный уголок); электроды типа Э50А ГОСТ 9467-75; проволока Св-08Г2С ГОСТ 2246-70 в среде СО₂ ГОСТ 8050-85.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швов кровли (100 %); журнал сварочных работ. Контроль герметичности швов кровли избыточным давлением воздуха 2 кПа выполняется в процессе гидравлического испытания (отдельный акт).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(разд. 8, табл. 13); СП 365.1325800.2017; ГОСТ 5264-80; ГОСТ 14771-76; ППР (разд. 6, 7).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люков и патрубков в стенке и крыше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заключение ВИК;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