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Удаление продуктов коррозии, окалины, влаги и загрязнений; абразивоструйная (пескоструйная) обработка наружных металлических поверхностей резервуара до степени очистки Sa 2½ с обеспечением требуемой шероховатости; обеспыливание обработанных поверхностей; обезжиривание поверхностей растворителем. Площадь обработки — по ведомости объёмов работ.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 «Антикоррозийная защита наружной поверхности РВС»; КМ, лист 1.5 «Рекомендации по АК защите резервуара»; технологическая документация изготовителя лакокрасочного материала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Абразивный материал (песок формовочный / купершлак) по ГОСТ 2138-91 или ТУ изготовителя; растворитель Р-4 ГОСТ 7827-74 (или растворитель по технической документации изготовителя ЛКМ); сжатый воздух, очищенный от масла и влаги.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входного контроля материалов АКЗ; журнал производства антикоррозионных работ с фиксацией температуры и относительной влажности воздуха, температуры поверхности и точки росы; контроль степени очистки по эталонам, контроль шероховатости, контроль обеспыливания и обезжиривания.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9.402-2004; ГОСТ Р ИСО 8501-1-2014 (степень очистки Sa 2½); СП 28.13330.2017; ГОСТ 31385-2023 (разд. 10); ППР (п. 6.5). Температура окрашиваемой поверхности должна быть не менее чем на 3 °С выше точки росы.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лакокрасочного покрытия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акт входного контроля материалов АКЗ; копии сертификатов и паспортов качества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