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after="18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СЛУЖБА ТЕХНИЧЕСКОГО ЗАКАЗЧИКА</w:t>
      </w:r>
    </w:p>
    <w:p>
      <w:pPr>
        <w:pStyle w:val="Title"/>
        <w:ind w:firstLine="0"/>
        <w:jc w:val="center"/>
      </w:pPr>
      <w:r>
        <w:rPr>
          <w:b/>
        </w:rPr>
        <w:t>ВНУТРЕННИЕ ТЕХНИЧЕСКИЕ УСЛОВИЯ</w:t>
      </w:r>
    </w:p>
    <w:p>
      <w:pPr>
        <w:keepNext w:val="0"/>
        <w:widowControl/>
        <w:spacing w:after="16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на водоснабжение систем пожаротушения</w:t>
        <w:br/>
        <w:t>док-павильона «Рыба-мясо» № 23</w:t>
      </w:r>
    </w:p>
    <w:p>
      <w:pPr>
        <w:keepNext w:val="0"/>
        <w:widowControl/>
        <w:spacing w:after="180"/>
        <w:ind w:firstLine="0"/>
        <w:jc w:val="both"/>
      </w:pPr>
      <w:r>
        <w:rPr>
          <w:rFonts w:ascii="Times New Roman" w:hAnsi="Times New Roman"/>
          <w:b w:val="0"/>
          <w:color w:val="000000"/>
          <w:sz w:val="24"/>
        </w:rPr>
        <w:t>№ __________                                      от 08 октября 2026 г.</w:t>
      </w:r>
    </w:p>
    <w:p>
      <w:pPr>
        <w:keepNext w:val="0"/>
        <w:widowControl/>
        <w:spacing w:after="100"/>
        <w:ind w:firstLine="0"/>
        <w:jc w:val="both"/>
      </w:pPr>
      <w:r>
        <w:rPr>
          <w:rFonts w:ascii="Times New Roman" w:hAnsi="Times New Roman"/>
          <w:b w:val="0"/>
          <w:color w:val="000000"/>
          <w:sz w:val="24"/>
        </w:rPr>
        <w:t>Объект: док-павильон «Рыба-мясо» № 23 в составе оптово-продовольственного рынка «Донецкий», г. Макеевка, Горняцкий район.</w:t>
      </w:r>
    </w:p>
    <w:p>
      <w:pPr>
        <w:keepNext w:val="0"/>
        <w:widowControl/>
        <w:spacing w:after="160"/>
        <w:ind w:firstLine="0"/>
        <w:jc w:val="both"/>
      </w:pPr>
      <w:r>
        <w:rPr>
          <w:rFonts w:ascii="Times New Roman" w:hAnsi="Times New Roman"/>
          <w:b w:val="0"/>
          <w:color w:val="000000"/>
          <w:sz w:val="24"/>
        </w:rPr>
        <w:t>Выданы: исполнителю проектной документации раздела ПТ по требованию.</w:t>
      </w:r>
    </w:p>
    <w:p>
      <w:pPr>
        <w:keepNext/>
        <w:widowControl/>
        <w:spacing w:after="100" w:before="14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1 Назначение технических условий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Настоящие технические условия устанавливают исходные параметры подачи воды от внутриплощадочной противопожарной сети В2 для разработки проектной документации систем пожаротушения здания № 23.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В здании предусмотреть повысительную пожарную насосную установку для обеспечения требуемых параметров автоматической установки пожаротушения (АУПТ) и внутреннего противопожарного водопровода (ВПВ).</w:t>
      </w:r>
    </w:p>
    <w:p>
      <w:pPr>
        <w:keepNext/>
        <w:widowControl/>
        <w:spacing w:after="100" w:before="14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 Точка подключения и параметры водоснабжения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4195"/>
        <w:gridCol w:w="5443"/>
      </w:tblGrid>
      <w:tr>
        <w:trPr>
          <w:cantSplit/>
          <w:tblHeader/>
        </w:trPr>
        <w:tc>
          <w:tcPr>
            <w:tcW w:type="dxa" w:w="419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3"/>
              </w:rPr>
              <w:t>Параметр</w:t>
            </w:r>
          </w:p>
        </w:tc>
        <w:tc>
          <w:tcPr>
            <w:tcW w:type="dxa" w:w="5443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3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419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 w:val="0"/>
                <w:sz w:val="23"/>
              </w:rPr>
              <w:t>Источник водоснабжения</w:t>
            </w:r>
          </w:p>
        </w:tc>
        <w:tc>
          <w:tcPr>
            <w:tcW w:type="dxa" w:w="5443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 w:val="0"/>
                <w:sz w:val="23"/>
              </w:rPr>
              <w:t>Внутриплощадочная противопожарная сеть В2</w:t>
            </w:r>
          </w:p>
        </w:tc>
      </w:tr>
      <w:tr>
        <w:trPr>
          <w:cantSplit/>
        </w:trPr>
        <w:tc>
          <w:tcPr>
            <w:tcW w:type="dxa" w:w="419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 w:val="0"/>
                <w:sz w:val="23"/>
              </w:rPr>
              <w:t>Точка подключения</w:t>
            </w:r>
          </w:p>
        </w:tc>
        <w:tc>
          <w:tcPr>
            <w:tcW w:type="dxa" w:w="5443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 w:val="0"/>
                <w:sz w:val="23"/>
              </w:rPr>
              <w:t>Ввод 23.1 на границе здания № 23</w:t>
            </w:r>
          </w:p>
        </w:tc>
      </w:tr>
      <w:tr>
        <w:trPr>
          <w:cantSplit/>
        </w:trPr>
        <w:tc>
          <w:tcPr>
            <w:tcW w:type="dxa" w:w="419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 w:val="0"/>
                <w:sz w:val="23"/>
              </w:rPr>
              <w:t>Предоставляемый расход воды</w:t>
            </w:r>
          </w:p>
        </w:tc>
        <w:tc>
          <w:tcPr>
            <w:tcW w:type="dxa" w:w="5443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 w:val="0"/>
                <w:sz w:val="23"/>
              </w:rPr>
              <w:t>40 л/с (144 м³/ч)</w:t>
            </w:r>
          </w:p>
        </w:tc>
      </w:tr>
      <w:tr>
        <w:trPr>
          <w:cantSplit/>
        </w:trPr>
        <w:tc>
          <w:tcPr>
            <w:tcW w:type="dxa" w:w="419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 w:val="0"/>
                <w:sz w:val="23"/>
              </w:rPr>
              <w:t>Минимальное остаточное давление</w:t>
            </w:r>
          </w:p>
        </w:tc>
        <w:tc>
          <w:tcPr>
            <w:tcW w:type="dxa" w:w="5443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 w:val="0"/>
                <w:sz w:val="23"/>
              </w:rPr>
              <w:t>Не менее 0,20 МПа при расходе 40 л/с через ввод 23.1</w:t>
            </w:r>
          </w:p>
        </w:tc>
      </w:tr>
    </w:tbl>
    <w:p>
      <w:pPr>
        <w:keepNext w:val="0"/>
        <w:widowControl/>
        <w:spacing w:after="100" w:before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Указанное давление относится к расчётному режиму водоразбора на границе здания перед повысительной установкой. Давление в сети без водоразбора не заменяет этот параметр.</w:t>
      </w:r>
    </w:p>
    <w:p>
      <w:pPr>
        <w:keepNext/>
        <w:widowControl/>
        <w:spacing w:after="100" w:before="14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3 Граница проектирования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Подводящие трубопроводы и ввод 23.1 до границы здания выполнить в разделе НВК. Повысительную установку и внутренние системы пожаротушения от границы здания разработать в разделе ПТ.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Привязку ввода, отметки, материал и диаметры труб, количество вводных трубопроводов и размещение арматуры согласовать между разработчиками НВК и ПТ с учётом требований надёжности водоснабжения.</w:t>
      </w:r>
    </w:p>
    <w:p>
      <w:r>
        <w:br w:type="page"/>
      </w:r>
    </w:p>
    <w:p>
      <w:pPr>
        <w:keepNext/>
        <w:widowControl/>
        <w:spacing w:after="100" w:before="14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4 Требования к разработке раздела ПТ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4.1. Требуемые параметры повысительной насосной установки определить гидравлическим расчётом в разделе ПТ, исходя из предоставленных параметров водоснабжения на границе здания. При превышении выделенного расхода согласовать изменение технических условий со службой технического заказчика.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4.2. Расчётом подтвердить расходы и давления при совместной работе АУПТ и ВПВ. Учесть расположение пожарных кранов, фактические расходы оросителей, геодезические отметки, потери в трубопроводах, арматуре и узлах управления, включая участок от границы здания до насосов.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4.3. Группы защищаемых помещений, параметры орошения и продолжительность подачи воды принять по назначению помещений, пожарной нагрузке, условиям хранения, согласованным решениям раздела ПБ и применимым нормативным требованиям.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4.4. Тип, производительность и напор насосов, состав резервного оборудования, автоматику пуска и поддержания давления определить проектом ПТ. Проверить условия работы насосов на всасывании и допустимые давления оборудования. Фиксированный напор насосов настоящими ТУ не задаётся.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4.5. До окончательного подбора оборудования получить от разработчика НВК сведения о максимальном давлении в точке подключения. При необходимости предусмотреть мероприятия по ограничению давления во внутренних системах.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4.6. Предусмотреть необходимые запорные устройства, контроль давления, защиту от обратного тока, дренирование, испытания и взаимодействие насосной установки с системами противопожарной защиты. Решения по электроснабжению и автоматизации согласовать со смежными разделами.</w:t>
      </w:r>
    </w:p>
    <w:p>
      <w:pPr>
        <w:keepNext/>
        <w:widowControl/>
        <w:spacing w:after="100" w:before="14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5 Увязка с внутриплощадочной сетью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5.1. В разделе НВК обеспечить в точке 23.1 предоставляемый расход 40 л/с при остаточном давлении не менее 0,20 МПа с учётом расчётного одновременного отбора воды на наружное пожаротушение. Обеспеченность режима подтвердить гидравлическим расчётом внутриплощадочной сети.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5.2. Наружное пожаротушение предусмотреть от пожарных гидрантов внутриплощадочной сети. Расход наружного пожаротушения не входит в выделенные 40 л/с через ввод 23.1 и учитывается при расчёте общего источника и сети В2.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5.3. Продолжительность обеспечения расчётной подачи воды, требуемый противопожарный запас и режим работы общего источника согласовать в разделах НВК, ПТ и ПБ на основании принятых сценариев пожаротушения.</w:t>
      </w:r>
    </w:p>
    <w:p>
      <w:pPr>
        <w:keepNext w:val="0"/>
        <w:widowControl/>
        <w:spacing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5.4. Проектные решения разработать по применимым требованиям СП 485.1311500, СП 10.13130, СП 8.13130 и СП 31.13330. Изменения точки подключения и предоставленных параметров согласовать со службой технического заказчика.</w:t>
      </w:r>
    </w:p>
    <w:p>
      <w:pPr>
        <w:keepNext w:val="0"/>
        <w:widowControl/>
        <w:spacing w:after="6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keepNext w:val="0"/>
        <w:widowControl/>
        <w:spacing w:after="160"/>
        <w:ind w:firstLine="0"/>
        <w:jc w:val="both"/>
      </w:pPr>
      <w:r>
        <w:rPr>
          <w:rFonts w:ascii="Times New Roman" w:hAnsi="Times New Roman"/>
          <w:b/>
          <w:color w:val="000000"/>
          <w:sz w:val="24"/>
        </w:rPr>
        <w:t>От службы технического заказчика</w:t>
      </w:r>
    </w:p>
    <w:p>
      <w:pPr>
        <w:keepNext w:val="0"/>
        <w:widowControl/>
        <w:spacing w:after="160"/>
        <w:ind w:firstLine="0"/>
        <w:jc w:val="both"/>
      </w:pPr>
      <w:r>
        <w:rPr>
          <w:rFonts w:ascii="Times New Roman" w:hAnsi="Times New Roman"/>
          <w:b w:val="0"/>
          <w:color w:val="000000"/>
          <w:sz w:val="24"/>
        </w:rPr>
        <w:t>Должность __________________________________________________</w:t>
      </w:r>
    </w:p>
    <w:p>
      <w:pPr>
        <w:keepNext w:val="0"/>
        <w:widowControl/>
        <w:spacing w:after="20"/>
        <w:ind w:firstLine="0"/>
        <w:jc w:val="both"/>
      </w:pPr>
      <w:r>
        <w:rPr>
          <w:rFonts w:ascii="Times New Roman" w:hAnsi="Times New Roman"/>
          <w:b w:val="0"/>
          <w:color w:val="000000"/>
          <w:sz w:val="24"/>
        </w:rPr>
        <w:t>_____________________ / _____________________________________</w:t>
      </w:r>
    </w:p>
    <w:p>
      <w:pPr>
        <w:keepNext w:val="0"/>
        <w:widowControl/>
        <w:spacing w:after="0"/>
        <w:ind w:firstLine="0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                 подпись                                      Фамилия И. О.</w:t>
      </w:r>
    </w:p>
    <w:sectPr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52" w:lineRule="auto"/>
      <w:ind w:firstLine="709"/>
      <w:outlineLvl w:val="9"/>
    </w:pPr>
    <w:rPr>
      <w:rFonts w:ascii="Times New Roman" w:hAnsi="Times New Roman" w:eastAsia="Times New Roman" w:cs="Times New Roman"/>
      <w:color w:val="000000"/>
      <w:sz w:val="24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u w:val="none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u w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 w:before="0"/>
      <w:contextualSpacing/>
      <w:outlineLvl w:val="9"/>
    </w:pPr>
    <w:rPr>
      <w:rFonts w:ascii="Times New Roman" w:hAnsi="Times New Roman" w:eastAsia="Times New Roman" w:cs="Times New Roman"/>
      <w:color w:val="000000"/>
      <w:spacing w:val="5"/>
      <w:kern w:val="28"/>
      <w:sz w:val="3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