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Разметка и вырезка отверстий в крыше, установка и сварка патрубков и люков крыши (световой люк Ду500, патрубки по схеме), зачистка швов, устранение выявленных дефектов.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9.1 «Схема расположения люков и патрубков», лист 9.2, лист 9.3 «Патрубки в стенке и крыше», лист 9.6 «Световой люк Ду500»;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19281-2014; трубы Ø159×6 ГОСТ 8732-78; крепёж по ГОСТ 7798-70, ГОСТ 5915-70, ГОСТ 11371-78; электроды типа Э50А ГОСТ 9467-75; проволока Св-08Г2С ГОСТ 2246-70 в среде СО₂ ГОСТ 8050-85.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(100 %); акт контроля герметичности шва патрубка с кровлей пробой «мел-керосин»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(табл. 13); ГОСТ 3242-79; ГОСТ 5264-80; ГОСТ 14771-76; ППР (разд. 6, 7)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площадок обслуживания, ограждений и кольцевой лестницы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заключения ВИК и контроля герметичности;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