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уторного уголка (элемента жёсткости) по периметру верха стенки и его приварка; раскатка и подъём полотен крыши, сборка развёрнутого конуса, сварка монтажного стыка крыши и сопряжения крыши со стенкой, зачистка швов, устранение выявленных дефектов. Крыша бескаркасная коническая, уклон 30°, Ø 8530 мм, толщина 5 мм, два полотна рулонной сборки.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5.1 «Крыша резервуара. Развёртка оболочки», лист 5.2 «Узлы 1, 2»;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19281-2014, t = 5 мм; уголок L75×6 09Г2С-сб ГОСТ 8509-93 (уторный уголок);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швов кровли (100 %); журнал сварочных работ. Контроль герметичности швов кровли избыточным давлением воздуха 2 кПа выполняется в процессе гидравлического испытания (отдельный акт).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табл. 13); СП 365.1325800.2017; ГОСТ 5264-80; ГОСТ 14771-76; ППР (разд. 6, 7).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люков и патрубков в стенке и крыше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заключение ВИК;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