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и вырезка отверстий в крыше, установка и сварка патрубков и люков крыши (световой люк Ду500, патрубки по схеме), зачистка швов,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9.1 «Схема расположения люков и патрубков», лист 9.2, лист 9.3 «Патрубки в стенке и крыше», лист 9.6 «Световой люк Ду500»;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19281-2014; трубы Ø159×6 ГОСТ 8732-78; крепёж по ГОСТ 7798-70, ГОСТ 5915-70, ГОСТ 11371-78;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акт контроля герметичности шва патрубка с кровлей пробой «мел-керосин»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13); ГОСТ 3242-79; ГОСТ 5264-80; ГОСТ 14771-76; ППР (разд. 6, 7)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площадок обслуживания, ограждений и кольцевой лестницы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 и контроля герметичности;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