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Подготовка</w:t>
      </w:r>
      <w:r>
        <w:t xml:space="preserve"> </w:t>
      </w:r>
      <w:r>
        <w:t xml:space="preserve">к</w:t>
      </w:r>
      <w:r>
        <w:t xml:space="preserve"> </w:t>
      </w:r>
      <w:r>
        <w:t xml:space="preserve">защите</w:t>
      </w:r>
      <w:r>
        <w:t xml:space="preserve"> </w:t>
      </w:r>
      <w:r>
        <w:t xml:space="preserve">КТ</w:t>
      </w:r>
      <w:r>
        <w:t xml:space="preserve"> </w:t>
      </w:r>
      <w:r>
        <w:t xml:space="preserve">№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Импорт</w:t>
      </w:r>
      <w:r>
        <w:t xml:space="preserve"> </w:t>
      </w:r>
      <w:r>
        <w:t xml:space="preserve">товаров</w:t>
      </w:r>
      <w:r>
        <w:t xml:space="preserve"> </w:t>
      </w:r>
      <w:r>
        <w:t xml:space="preserve">из</w:t>
      </w:r>
      <w:r>
        <w:t xml:space="preserve"> </w:t>
      </w:r>
      <w:r>
        <w:t xml:space="preserve">Китая</w:t>
      </w:r>
      <w:r>
        <w:t xml:space="preserve"> </w:t>
      </w:r>
      <w:r>
        <w:t xml:space="preserve">в</w:t>
      </w:r>
      <w:r>
        <w:t xml:space="preserve"> </w:t>
      </w:r>
      <w:r>
        <w:t xml:space="preserve">Fix</w:t>
      </w:r>
      <w:r>
        <w:t xml:space="preserve"> </w:t>
      </w:r>
      <w:r>
        <w:t xml:space="preserve">Price:</w:t>
      </w:r>
      <w:r>
        <w:t xml:space="preserve"> </w:t>
      </w:r>
      <w:r>
        <w:t xml:space="preserve">что</w:t>
      </w:r>
      <w:r>
        <w:t xml:space="preserve"> </w:t>
      </w:r>
      <w:r>
        <w:t xml:space="preserve">говорить</w:t>
      </w:r>
      <w:r>
        <w:t xml:space="preserve"> </w:t>
      </w:r>
      <w:r>
        <w:t xml:space="preserve">и</w:t>
      </w:r>
      <w:r>
        <w:t xml:space="preserve"> </w:t>
      </w:r>
      <w:r>
        <w:t xml:space="preserve">как</w:t>
      </w:r>
      <w:r>
        <w:t xml:space="preserve"> </w:t>
      </w:r>
      <w:r>
        <w:t xml:space="preserve">отвечать</w:t>
      </w:r>
    </w:p>
    <w:bookmarkStart w:id="20" w:name="речь-на-12-минуты"/>
    <w:p>
      <w:pPr>
        <w:pStyle w:val="Heading1"/>
      </w:pPr>
      <w:r>
        <w:t xml:space="preserve">1. Речь на 1–2 минуты</w:t>
      </w:r>
    </w:p>
    <w:p>
      <w:pPr>
        <w:pStyle w:val="BlockText"/>
      </w:pPr>
      <w:r>
        <w:t xml:space="preserve">Я исследовал бизнес-процесс импорта товаров из Китая в торговой сети Fix Price. Для сети с фиксированными ценами этот процесс важен: товар должен уложиться в ценовую точку и успеть к сезону, а цепочка длинная, в ней шесть подразделений компании и семь внешних участников: агент, фабрика, лаборатория, банк, экспедитор, таможенный представитель и таможня.</w:t>
      </w:r>
    </w:p>
    <w:p>
      <w:pPr>
        <w:pStyle w:val="BlockText"/>
      </w:pPr>
      <w:r>
        <w:t xml:space="preserve">Сведения о компании я взял из открытых источников: отчетности, пресс-релизов, интервью руководителей. Внутренние сроки компания не публикует, поэтому длительности и доли повторов в модели оценочные, и в работе это прямо сказано.</w:t>
      </w:r>
    </w:p>
    <w:p>
      <w:pPr>
        <w:pStyle w:val="BlockText"/>
      </w:pPr>
      <w:r>
        <w:t xml:space="preserve">Я описал оргструктуру, процессы верхнего уровня, определил границы процесса: от утвержденного плана закупок до товара на РЦ, готового к отгрузке в магазины. Процесс разбил на десять этапов, построил модель AS IS в нотации eEPC и нашел восемь проблем. Главная общая причина: работы, которые можно делать заранее или параллельно, начинаются только тогда, когда без них дальше идти нельзя. Например, контейнер бронируют после оплаты остатка, документы проверяют после прибытия, распределение считают после приемки.</w:t>
      </w:r>
    </w:p>
    <w:p>
      <w:pPr>
        <w:pStyle w:val="BlockText"/>
      </w:pPr>
      <w:r>
        <w:t xml:space="preserve">В модели TO BE эти работы перенесены на время производства и перевозки, а образцы согласуются онлайн. По расчету цикл сокращается с 149,1 до 94,7 дня, то есть на 36,5%. Производство и перевозку, 70 дней, компания почти не ускорит, а вот собственная, управляемая часть цикла сокращается с 79,1 до 24,7 дня, на 68,8%. Трудозатраты на контейнер падают на 22,5%. Главный риск: агенты должны согласиться на оплату остатка против копии коносамента.</w:t>
      </w:r>
    </w:p>
    <w:bookmarkEnd w:id="20"/>
    <w:bookmarkStart w:id="25" w:name="шпаргалка-цифры-которые-надо-помнить"/>
    <w:p>
      <w:pPr>
        <w:pStyle w:val="Heading1"/>
      </w:pPr>
      <w:r>
        <w:t xml:space="preserve">2. Шпаргалка: цифры, которые надо помнить</w:t>
      </w:r>
    </w:p>
    <w:bookmarkStart w:id="21" w:name="о-компании-все-с-источниками"/>
    <w:p>
      <w:pPr>
        <w:pStyle w:val="Heading2"/>
      </w:pPr>
      <w:r>
        <w:t xml:space="preserve">О компании (все с источниками)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ПАО «Фикс Прайс» (материнская), операционная ООО «Бэст Прайс»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[20] Интерфакс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Магазины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7 818 на конец 2025 года (+701 за год); 7 912 на 31.03.2026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[16] Ведомости, [17] пресс-релиз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313,3 млрд руб. за 2025 год, +4,3% к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Ассортимент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2 000 позиций, около 20 категорий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[18] годовой отчет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Поставщики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 товаров от российских производителей, остальное импорт (Китай, Турция)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[19] интервью Д. Кирсанова, Коммерсантъ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 с Китаем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напрямую с фабриками через торговых агентов, без дистрибьюторов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[22] Inc. Russia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на 31.03.2025, склад на LEAD 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[18], [23]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ИТ-сервис для поставщиков из Китая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версия с декабря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[21] CNews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более 49 тыс. 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[24]</w:t>
            </w:r>
          </w:p>
        </w:tc>
      </w:tr>
    </w:tbl>
    <w:bookmarkEnd w:id="21"/>
    <w:bookmarkStart w:id="22" w:name="о-работе"/>
    <w:p>
      <w:pPr>
        <w:pStyle w:val="Heading2"/>
      </w:pPr>
      <w:r>
        <w:t xml:space="preserve">О работе</w:t>
      </w:r>
    </w:p>
    <w:p>
      <w:pPr>
        <w:numPr>
          <w:ilvl w:val="0"/>
          <w:numId w:val="1001"/>
        </w:numPr>
        <w:pStyle w:val="Compact"/>
      </w:pPr>
      <w:r>
        <w:t xml:space="preserve">12 разделов (по пунктам задания), 16 рисунков, 14 таблиц, 24 источника, 47 страниц.</w:t>
      </w:r>
    </w:p>
    <w:p>
      <w:pPr>
        <w:numPr>
          <w:ilvl w:val="0"/>
          <w:numId w:val="1001"/>
        </w:numPr>
        <w:pStyle w:val="Compact"/>
      </w:pPr>
      <w:r>
        <w:t xml:space="preserve">10 этапов процесса, 24 вопроса для обследования, 8 проблем (П1–П8), 8 изменений (И1–И8).</w:t>
      </w:r>
    </w:p>
    <w:p>
      <w:pPr>
        <w:numPr>
          <w:ilvl w:val="0"/>
          <w:numId w:val="1001"/>
        </w:numPr>
        <w:pStyle w:val="Compact"/>
      </w:pPr>
      <w:r>
        <w:t xml:space="preserve">Модель AS IS: 6 частей, 26 функций. Модель TO BE: 4 части, 22 функции.</w:t>
      </w:r>
    </w:p>
    <w:p>
      <w:pPr>
        <w:numPr>
          <w:ilvl w:val="0"/>
          <w:numId w:val="1001"/>
        </w:numPr>
        <w:pStyle w:val="Compact"/>
      </w:pPr>
      <w:r>
        <w:t xml:space="preserve">Доли в AS IS: 40% повторный образец, 20% переделка упаковки, 50% заказов без действующей декларации, 10% брак, 30% поставок с ошибками в документах, 20% поставок с расхождениями.</w:t>
      </w:r>
    </w:p>
    <w:bookmarkEnd w:id="22"/>
    <w:bookmarkStart w:id="23" w:name="итоговые-показатели"/>
    <w:p>
      <w:pPr>
        <w:pStyle w:val="Heading2"/>
      </w:pPr>
      <w:r>
        <w:t xml:space="preserve">Итоговые показатели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Длительность цикла,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−54,4 (−36,5%)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Производство + перевозка,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(35 + 35)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Управляемая часть,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−68,8%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Согласование образца (этап 2),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−56,2%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 готовности до отгрузки (этап 6),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на СВХ (этап 8),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 приемки до готовности к отгрузке (этап 10),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−83,3%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Деньги «заморожены» в товаре (этапы 5–10),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Трудозатраты на контейнер, чел.-ч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−22,5% (в 1,3 раза)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Страховой запас, % от AS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Служебные записки на оплату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платежный календарь</w:t>
            </w:r>
          </w:p>
        </w:tc>
      </w:tr>
    </w:tbl>
    <w:bookmarkEnd w:id="23"/>
    <w:bookmarkStart w:id="24" w:name="длительность-по-этапам-таблица-12"/>
    <w:p>
      <w:pPr>
        <w:pStyle w:val="Heading2"/>
      </w:pPr>
      <w:r>
        <w:t xml:space="preserve">Длительность по этапам (таблица 12)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счет чего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Формирование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Поиск фабрики, образец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Упаковка и заказ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Сертификация и аванс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И2, И4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Производство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Инспекция, оплата, отгрузка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И4, И5, И6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Перевозка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Таможенное оформление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Доставка на РЦ и приемка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Распределение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И8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Как складываются самые частые цифры</w:t>
      </w:r>
      <w:r>
        <w:t xml:space="preserve"> </w:t>
      </w:r>
      <w:r>
        <w:t xml:space="preserve">(если попросят пояснить):</w:t>
      </w:r>
    </w:p>
    <w:p>
      <w:pPr>
        <w:numPr>
          <w:ilvl w:val="0"/>
          <w:numId w:val="1002"/>
        </w:numPr>
        <w:pStyle w:val="Compact"/>
      </w:pPr>
      <w:r>
        <w:t xml:space="preserve">Этап 2 AS IS: 10 (предложения и образцы) + 2 (оценка) + 3 (руководитель категории) + 6 (повторный образец: 40% от 15 дней) = 21.</w:t>
      </w:r>
    </w:p>
    <w:p>
      <w:pPr>
        <w:numPr>
          <w:ilvl w:val="0"/>
          <w:numId w:val="1002"/>
        </w:numPr>
        <w:pStyle w:val="Compact"/>
      </w:pPr>
      <w:r>
        <w:t xml:space="preserve">Этап 2 TO BE: 5 (фото и видео) + 2 (онлайн-оценка) + 1 (онлайн-комитет) + 1,2 (доработка: 40% от 3 дней) = 9,2.</w:t>
      </w:r>
    </w:p>
    <w:p>
      <w:pPr>
        <w:numPr>
          <w:ilvl w:val="0"/>
          <w:numId w:val="1002"/>
        </w:numPr>
        <w:pStyle w:val="Compact"/>
      </w:pPr>
      <w:r>
        <w:t xml:space="preserve">Этап 3 AS IS: 2 (размещение) + 1,4 (переделка упаковки: 20% от 7 дней) = 3,4.</w:t>
      </w:r>
    </w:p>
    <w:p>
      <w:pPr>
        <w:numPr>
          <w:ilvl w:val="0"/>
          <w:numId w:val="1002"/>
        </w:numPr>
        <w:pStyle w:val="Compact"/>
      </w:pPr>
      <w:r>
        <w:t xml:space="preserve">Этап 4 AS IS: 10,5 (декларация: 50% от 21 дня) + 1 (служебная записка) + 6 (платеж в юанях) = 17,5. В TO BE декларация идет параллельно с производством, остается только платеж по календарю, 3 дня.</w:t>
      </w:r>
    </w:p>
    <w:p>
      <w:pPr>
        <w:numPr>
          <w:ilvl w:val="0"/>
          <w:numId w:val="1002"/>
        </w:numPr>
        <w:pStyle w:val="Compact"/>
      </w:pPr>
      <w:r>
        <w:t xml:space="preserve">Этап 6 AS IS: 2 (инспекция) + 1 (брак: 10% от 10 дней) + 7 (оплата остатка по записке) + 7 (бронирование контейнера) + 3 (отгрузка и документы) = 20. В TO BE: 2 + 1 + 2 (отгрузка, контейнер уже забронирован, остаток платится в пути) = 5.</w:t>
      </w:r>
    </w:p>
    <w:p>
      <w:pPr>
        <w:numPr>
          <w:ilvl w:val="0"/>
          <w:numId w:val="1002"/>
        </w:numPr>
        <w:pStyle w:val="Compact"/>
      </w:pPr>
      <w:r>
        <w:t xml:space="preserve">Этап 8 AS IS: 2 (передача документов) + 1,2 (исправление: 30% от 4 дней) + 1 (платежи) + 1 (выпуск) = 5,2. В TO BE выпуск по предварительной декларации, 1 день.</w:t>
      </w:r>
    </w:p>
    <w:p>
      <w:pPr>
        <w:numPr>
          <w:ilvl w:val="0"/>
          <w:numId w:val="1002"/>
        </w:numPr>
        <w:pStyle w:val="Compact"/>
      </w:pPr>
      <w:r>
        <w:t xml:space="preserve">Этап 9 AS IS: 2 (вывоз) + 2 (ожидание окна) + 1 (приемка) + 1 (претензия: 20% от 5 дней) = 6. В TO BE: 1 + 1 + 0 = 2.</w:t>
      </w:r>
    </w:p>
    <w:p>
      <w:pPr>
        <w:numPr>
          <w:ilvl w:val="0"/>
          <w:numId w:val="1002"/>
        </w:numPr>
        <w:pStyle w:val="Compact"/>
      </w:pPr>
      <w:r>
        <w:t xml:space="preserve">Страховой запас: √(94,7 / 149,1) = 0,797, то есть 79,7%.</w:t>
      </w:r>
    </w:p>
    <w:p>
      <w:pPr>
        <w:numPr>
          <w:ilvl w:val="0"/>
          <w:numId w:val="1002"/>
        </w:numPr>
        <w:pStyle w:val="Compact"/>
      </w:pPr>
      <w:r>
        <w:t xml:space="preserve">Без согласия агента на оплату против копии коносамента остаток снова платится до отгрузки (около 5 дней), и цикл сокращается на 49,4 дня вместо 54,4.</w:t>
      </w:r>
    </w:p>
    <w:bookmarkEnd w:id="24"/>
    <w:bookmarkEnd w:id="25"/>
    <w:bookmarkStart w:id="26" w:name="Xb49ea5ef4bad1ef97dea440ad38d67198703d50"/>
    <w:p>
      <w:pPr>
        <w:pStyle w:val="Heading1"/>
      </w:pPr>
      <w:r>
        <w:t xml:space="preserve">3. Что в каком разделе (соответствие пунктам задания)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Объект 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1, отдел импорта как фокус, откуда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Оргструктура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Рисунок 1 (ARIS Organizational Chart), кто участвует в импорте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Процессы верхнего уровня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Рисунок 2 (VAD), таблица 2: 4 процесса управления, 6 основных, 6 обеспечивающих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Объект бизнес-анализа, границы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3, рисунок 3 (IDEF0, А-0)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Методы, инструменты, 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4: 7 методов, «пять почему»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Цель и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исследования, цель моделирования, 7 задач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Ключевые вопросы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5: 24 вопроса в 8 блоках по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Исследование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Рисунок 4 (декомпозиция), таблицы 6 (этапы), 7 (RACI), 8 (окружение), 9 (показатели)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Модель AS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Рисунки 5–11 (eEPC, 6 частей)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Проблемы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10: П1–П8, причины, 3 группы проблем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Модель TO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11: И1–И8, рисунки 12–15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Сравнение моделей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Таблицы 12–14, рисунок 16, риски внедрения</w:t>
            </w:r>
          </w:p>
        </w:tc>
      </w:tr>
    </w:tbl>
    <w:bookmarkEnd w:id="26"/>
    <w:bookmarkStart w:id="27" w:name="ход-процесса-своими-словами"/>
    <w:p>
      <w:pPr>
        <w:pStyle w:val="Heading1"/>
      </w:pPr>
      <w:r>
        <w:t xml:space="preserve">4. Ход процесса своими словами</w:t>
      </w:r>
    </w:p>
    <w:p>
      <w:pPr>
        <w:pStyle w:val="FirstParagraph"/>
      </w:pPr>
      <w:r>
        <w:rPr>
          <w:bCs/>
          <w:b/>
        </w:rPr>
        <w:t xml:space="preserve">AS IS (как есть), шесть частей:</w:t>
      </w:r>
    </w:p>
    <w:p>
      <w:pPr>
        <w:numPr>
          <w:ilvl w:val="0"/>
          <w:numId w:val="1003"/>
        </w:numPr>
        <w:pStyle w:val="Compact"/>
      </w:pPr>
      <w:r>
        <w:t xml:space="preserve">Утвержден план закупок. Категорийный менеджер формирует заказ (товар, количество, ценовая точка) и отправляет агенту ТЗ с целевой ценой. Агент за ~10 дней присылает предложения и образцы. Менеджер оценивает образцы и считает себестоимость, руководитель категории рассматривает товар и цену. В 40% случаев не утверждают, и все повторяется с нового образца.</w:t>
      </w:r>
    </w:p>
    <w:p>
      <w:pPr>
        <w:numPr>
          <w:ilvl w:val="0"/>
          <w:numId w:val="1003"/>
        </w:numPr>
        <w:pStyle w:val="Compact"/>
      </w:pPr>
      <w:r>
        <w:t xml:space="preserve">Заказ размещается у агента, и только потом согласуются упаковка и надписи на русском (20% макетов переделывают). Служба качества проверяет, есть ли действующая декларация соответствия; если нет (50%), испытания в лаборатории и оформление декларации, ~21 день, производство ждет.</w:t>
      </w:r>
    </w:p>
    <w:p>
      <w:pPr>
        <w:numPr>
          <w:ilvl w:val="0"/>
          <w:numId w:val="1003"/>
        </w:numPr>
        <w:pStyle w:val="Compact"/>
      </w:pPr>
      <w:r>
        <w:t xml:space="preserve">Отдел импорта заказывает коды маркировки в «Честном знаке» и передает фабрике через ИТ-сервис. Служебная записка на аванс, согласование руководителем отдела, оплата аванса (~6 дней). Фабрика производит партию ~35 дней.</w:t>
      </w:r>
    </w:p>
    <w:p>
      <w:pPr>
        <w:numPr>
          <w:ilvl w:val="0"/>
          <w:numId w:val="1003"/>
        </w:numPr>
        <w:pStyle w:val="Compact"/>
      </w:pPr>
      <w:r>
        <w:t xml:space="preserve">Инспекция готовой партии (10% брака, исправление). Служебная записка и оплата остатка (~7 дней). Только после этого логистика запрашивает ставки и бронирует контейнер (~7 дней).</w:t>
      </w:r>
    </w:p>
    <w:p>
      <w:pPr>
        <w:numPr>
          <w:ilvl w:val="0"/>
          <w:numId w:val="1003"/>
        </w:numPr>
        <w:pStyle w:val="Compact"/>
      </w:pPr>
      <w:r>
        <w:t xml:space="preserve">Отгрузка, агент присылает инвойс, упаковочный лист, коносамент. Перевозка ~35 дней. Контейнер прибыл на СВХ, только тогда документы уходят таможенному представителю; в 30% случаев документы исправляют, пока контейнер стоит. Таможенные платежи, выпуск.</w:t>
      </w:r>
    </w:p>
    <w:p>
      <w:pPr>
        <w:numPr>
          <w:ilvl w:val="0"/>
          <w:numId w:val="1003"/>
        </w:numPr>
        <w:pStyle w:val="Compact"/>
      </w:pPr>
      <w:r>
        <w:t xml:space="preserve">Вывоз на РЦ, ожидание окна разгрузки (~2 дня), приемка в LEAD WMS с проверкой кодов маркировки. При расхождениях (20%) акт и претензия агенту. После приемки менеджер считает распределение по магазинам (~3 дня). Дальше процесс О3.</w:t>
      </w:r>
    </w:p>
    <w:p>
      <w:pPr>
        <w:pStyle w:val="FirstParagraph"/>
      </w:pPr>
      <w:r>
        <w:rPr>
          <w:bCs/>
          <w:b/>
        </w:rPr>
        <w:t xml:space="preserve">TO BE (как должно быть), четыре части:</w:t>
      </w:r>
    </w:p>
    <w:p>
      <w:pPr>
        <w:numPr>
          <w:ilvl w:val="0"/>
          <w:numId w:val="1004"/>
        </w:numPr>
        <w:pStyle w:val="Compact"/>
      </w:pPr>
      <w:r>
        <w:t xml:space="preserve">ТЗ сразу с шаблоном упаковки на русском (И3). Фото и видео образцов (~5 дней вместо 10), онлайн-оценка с агентом и онлайн-комитет (И1). При доработке повторяется только онлайн-оценка. Заказ размещается с готовым макетом.</w:t>
      </w:r>
    </w:p>
    <w:p>
      <w:pPr>
        <w:numPr>
          <w:ilvl w:val="0"/>
          <w:numId w:val="1004"/>
        </w:numPr>
        <w:pStyle w:val="Compact"/>
      </w:pPr>
      <w:r>
        <w:t xml:space="preserve">Аванс по платежному календарю (И4). Дальше оператор «И» запускает три параллельные ветви: декларации на новые позиции (И2), коды маркировки и контроль производства, бронирование контейнера на плановую дату (И5). Все укладывается в 35 дней производства. На инспекции заодно проверяются проекты инвойса и упаковочного листа (И6). Сразу после инспекции отгрузка.</w:t>
      </w:r>
    </w:p>
    <w:p>
      <w:pPr>
        <w:numPr>
          <w:ilvl w:val="0"/>
          <w:numId w:val="1004"/>
        </w:numPr>
        <w:pStyle w:val="Compact"/>
      </w:pPr>
      <w:r>
        <w:t xml:space="preserve">Пока контейнер в пути, две параллельные ветви: (а) остаток против копии коносамента (И4), предварительная декларация через брокера и авансовые таможенные платежи (И6); (б) расчет распределения по магазинам (И8), отслеживание ETA и бронь окна разгрузки (И7). Выпуск в день прибытия.</w:t>
      </w:r>
    </w:p>
    <w:p>
      <w:pPr>
        <w:numPr>
          <w:ilvl w:val="0"/>
          <w:numId w:val="1004"/>
        </w:numPr>
        <w:pStyle w:val="Compact"/>
      </w:pPr>
      <w:r>
        <w:t xml:space="preserve">Доставка к забронированному окну, приемка, претензия в день приемки, отгрузка по готовому распределению.</w:t>
      </w:r>
    </w:p>
    <w:bookmarkEnd w:id="27"/>
    <w:bookmarkStart w:id="28" w:name="проблемы-и-изменения-таблицы-10-и-11"/>
    <w:p>
      <w:pPr>
        <w:pStyle w:val="Heading1"/>
      </w:pPr>
      <w:r>
        <w:t xml:space="preserve">5. Проблемы и изменения (таблицы 10 и 11)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Образцы пересылаются из Китая, утверждение отдельным шагом, 40% возвратов, 21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онлайн-оценки с агентом и регулярного комитета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И1: фото и видео, видеосвязь, онлайн-комитет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Декларация оформляется до производства, в половине заказов старт позже на 21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 не встроена в график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И2: декларации параллельно с производством, реестр деклараций в ИТ-сервисе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Упаковка согласуется после размещения заказа, 20% переделок, ~7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к упаковке не передаются вместе с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И3: шаблон упаковки вместе с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Аванс и остаток по служебным запискам, остаток до отгрузки, ~14 дней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платежного календаря, остаток по условиям платится до отгрузки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И4: платежный календарь, остаток против копии коносамента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бронируют только после оплаты остатка, ~7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Логистика подключается поздно, плановая дата ей не передается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И5: бронь на плановую дату во время производства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 брокеру только после прибытия, 30% исправлений на СВХ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проверки проектов документов и предварительного декларирования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И6: проверка проектов при инспекции, предварительная ДТ, авансовые платежи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Окно разгрузки не бронируется, ~2 дня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 не передается на РЦ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И7: отслеживание ETA, бронь окна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Распределение только после приемки, товар 3 дня лежит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Распределение не готовят, пока товар в пути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И8: распределение до прибытия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Три группы проблем:</w:t>
      </w:r>
      <w:r>
        <w:t xml:space="preserve"> </w:t>
      </w:r>
      <w:r>
        <w:t xml:space="preserve">организационные (П2, П3, П5, П7, П8: последовательное выполнение, позднее подключение участников), информационные (П1, П6: образцы и документы проверяются поздно и «вживую»), финансовые (П4: порядок и условия оплаты).</w:t>
      </w:r>
    </w:p>
    <w:p>
      <w:pPr>
        <w:pStyle w:val="BodyText"/>
      </w:pPr>
      <w:r>
        <w:rPr>
          <w:bCs/>
          <w:b/>
        </w:rPr>
        <w:t xml:space="preserve">Порядок внедрения:</w:t>
      </w:r>
      <w:r>
        <w:t xml:space="preserve"> </w:t>
      </w:r>
      <w:r>
        <w:t xml:space="preserve">сначала И3, И5, И6 (почти без затрат), затем И4, И7, И8 (доработка ИТ-сервиса и учетной системы), в последнюю очередь И1 и И2 (меняют работу категорийного менеджмента и службы качества).</w:t>
      </w:r>
    </w:p>
    <w:p>
      <w:pPr>
        <w:pStyle w:val="BodyText"/>
      </w:pPr>
      <w:r>
        <w:rPr>
          <w:bCs/>
          <w:b/>
        </w:rPr>
        <w:t xml:space="preserve">Пример «пяти почему» (П5), если попросят показать метод:</w:t>
      </w:r>
    </w:p>
    <w:p>
      <w:pPr>
        <w:numPr>
          <w:ilvl w:val="0"/>
          <w:numId w:val="1005"/>
        </w:numPr>
        <w:pStyle w:val="Compact"/>
      </w:pPr>
      <w:r>
        <w:t xml:space="preserve">Почему готовая партия ждет отгрузки лишние 7 дней? Нет контейнера.</w:t>
      </w:r>
    </w:p>
    <w:p>
      <w:pPr>
        <w:numPr>
          <w:ilvl w:val="0"/>
          <w:numId w:val="1005"/>
        </w:numPr>
        <w:pStyle w:val="Compact"/>
      </w:pPr>
      <w:r>
        <w:t xml:space="preserve">Почему нет контейнера? Его бронируют только после оплаты остатка.</w:t>
      </w:r>
    </w:p>
    <w:p>
      <w:pPr>
        <w:numPr>
          <w:ilvl w:val="0"/>
          <w:numId w:val="1005"/>
        </w:numPr>
        <w:pStyle w:val="Compact"/>
      </w:pPr>
      <w:r>
        <w:t xml:space="preserve">Почему только после оплаты? Логистика узнает о партии, когда она уже готова и оплачена.</w:t>
      </w:r>
    </w:p>
    <w:p>
      <w:pPr>
        <w:numPr>
          <w:ilvl w:val="0"/>
          <w:numId w:val="1005"/>
        </w:numPr>
        <w:pStyle w:val="Compact"/>
      </w:pPr>
      <w:r>
        <w:t xml:space="preserve">Почему так поздно? Плановая дата готовности логистике не передается.</w:t>
      </w:r>
    </w:p>
    <w:p>
      <w:pPr>
        <w:numPr>
          <w:ilvl w:val="0"/>
          <w:numId w:val="1005"/>
        </w:numPr>
        <w:pStyle w:val="Compact"/>
      </w:pPr>
      <w:r>
        <w:t xml:space="preserve">Почему не передается? Нет общего графика заказа, который видят все участники.</w:t>
      </w:r>
    </w:p>
    <w:p>
      <w:pPr>
        <w:pStyle w:val="FirstParagraph"/>
      </w:pPr>
      <w:r>
        <w:t xml:space="preserve">Причина, которую можно устранить решением: логистика подключается поздно. Решение: И5, бронь на плановую дату во время производства.</w:t>
      </w:r>
    </w:p>
    <w:p>
      <w:pPr>
        <w:pStyle w:val="BodyText"/>
      </w:pPr>
      <w:r>
        <w:rPr>
          <w:bCs/>
          <w:b/>
        </w:rPr>
        <w:t xml:space="preserve">Еще один (П6):</w:t>
      </w:r>
      <w:r>
        <w:t xml:space="preserve"> </w:t>
      </w:r>
      <w:r>
        <w:t xml:space="preserve">почему контейнер стоит на СВХ 5,2 дня? Документы передают брокеру только после прибытия, и в 30% их исправляют. Почему исправляют? Ошибки в инвойсе и упаковочном листе находят только при подготовке декларации. Почему так поздно? Проекты документов до отгрузки никто не проверяет. Почему? Такой операции нет в процессе, и предварительное декларирование не используется. Решение: И6.</w:t>
      </w:r>
    </w:p>
    <w:bookmarkEnd w:id="28"/>
    <w:bookmarkStart w:id="29" w:name="теория-которую-могут-спросить"/>
    <w:p>
      <w:pPr>
        <w:pStyle w:val="Heading1"/>
      </w:pPr>
      <w:r>
        <w:t xml:space="preserve">6. Теория, которую могут спросить</w:t>
      </w:r>
    </w:p>
    <w:p>
      <w:pPr>
        <w:pStyle w:val="FirstParagraph"/>
      </w:pPr>
      <w:r>
        <w:rPr>
          <w:bCs/>
          <w:b/>
        </w:rPr>
        <w:t xml:space="preserve">Бизнес-процесс.</w:t>
      </w:r>
      <w:r>
        <w:t xml:space="preserve"> </w:t>
      </w:r>
      <w:r>
        <w:t xml:space="preserve">Устойчивая последовательность действий, которая превращает входы в результат, ценный для клиента (внешнего или внутреннего). У процесса есть владелец, границы (начальное и конечное событие), входы, выходы, исполнители, ресурсы и показатели.</w:t>
      </w:r>
    </w:p>
    <w:p>
      <w:pPr>
        <w:pStyle w:val="BodyText"/>
      </w:pPr>
      <w:r>
        <w:rPr>
          <w:bCs/>
          <w:b/>
        </w:rPr>
        <w:t xml:space="preserve">Виды процессов.</w:t>
      </w:r>
      <w:r>
        <w:t xml:space="preserve"> </w:t>
      </w:r>
      <w:r>
        <w:t xml:space="preserve">Основные создают ценность для клиента (у нас О1–О5). Управления задают цели и правила (У1–У4). Обеспечивающие дают ресурсы основным (В1–В6).</w:t>
      </w:r>
    </w:p>
    <w:p>
      <w:pPr>
        <w:pStyle w:val="BodyText"/>
      </w:pPr>
      <w:r>
        <w:rPr>
          <w:bCs/>
          <w:b/>
        </w:rPr>
        <w:t xml:space="preserve">Владелец процесса.</w:t>
      </w:r>
      <w:r>
        <w:t xml:space="preserve"> </w:t>
      </w:r>
      <w:r>
        <w:t xml:space="preserve">Отвечает за результат и показатели процесса целиком, имеет право его менять. У нас это руководитель отдела импорта.</w:t>
      </w:r>
    </w:p>
    <w:p>
      <w:pPr>
        <w:pStyle w:val="BodyText"/>
      </w:pPr>
      <w:r>
        <w:rPr>
          <w:bCs/>
          <w:b/>
        </w:rPr>
        <w:t xml:space="preserve">AS IS и TO BE.</w:t>
      </w:r>
      <w:r>
        <w:t xml:space="preserve"> </w:t>
      </w:r>
      <w:r>
        <w:t xml:space="preserve">AS IS — модель того, как процесс выполняется сейчас, по ней ищут проблемы. TO BE — как он должен выполняться после изменений. Сравниваются по одним и тем же показателям.</w:t>
      </w:r>
    </w:p>
    <w:p>
      <w:pPr>
        <w:pStyle w:val="BodyText"/>
      </w:pPr>
      <w:r>
        <w:rPr>
          <w:bCs/>
          <w:b/>
        </w:rPr>
        <w:t xml:space="preserve">ARIS.</w:t>
      </w:r>
      <w:r>
        <w:t xml:space="preserve"> </w:t>
      </w:r>
      <w:r>
        <w:t xml:space="preserve">Методология и программы для моделирования бизнеса, автор — профессор Август-Вильгельм Шеер. ARIS описывает компанию с разных сторон: организация, функции, данные, процессы (управление), продукты. ARIS Express — бесплатная версия. Нотации из работы: Organizational Chart (оргструктура), VAD (цепочка добавленного качества, верхний уровень), eEPC (ход процесса).</w:t>
      </w:r>
    </w:p>
    <w:p>
      <w:pPr>
        <w:pStyle w:val="BodyText"/>
      </w:pPr>
      <w:r>
        <w:rPr>
          <w:bCs/>
          <w:b/>
        </w:rPr>
        <w:t xml:space="preserve">VAD (Value-added Chain Diagram).</w:t>
      </w:r>
      <w:r>
        <w:t xml:space="preserve"> </w:t>
      </w:r>
      <w:r>
        <w:t xml:space="preserve">Процессы верхнего уровня шевронами-стрелками в порядке создания ценности. Логики ветвлений нет, только состав и порядок крупных процессов. Использована на рисунках 2 и 4.</w:t>
      </w:r>
    </w:p>
    <w:p>
      <w:pPr>
        <w:pStyle w:val="BodyText"/>
      </w:pPr>
      <w:r>
        <w:rPr>
          <w:bCs/>
          <w:b/>
        </w:rPr>
        <w:t xml:space="preserve">eEPC (расширенная событийная цепочка процессов).</w:t>
      </w:r>
      <w:r>
        <w:t xml:space="preserve"> </w:t>
      </w:r>
      <w:r>
        <w:t xml:space="preserve">Основная нотация ARIS для хода процесса. Элементы:</w:t>
      </w:r>
    </w:p>
    <w:p>
      <w:pPr>
        <w:numPr>
          <w:ilvl w:val="0"/>
          <w:numId w:val="1006"/>
        </w:numPr>
        <w:pStyle w:val="Compact"/>
      </w:pPr>
      <w:r>
        <w:t xml:space="preserve">событие (шестиугольник): состояние, «что произошло», например «Аванс оплачен»;</w:t>
      </w:r>
    </w:p>
    <w:p>
      <w:pPr>
        <w:numPr>
          <w:ilvl w:val="0"/>
          <w:numId w:val="1006"/>
        </w:numPr>
        <w:pStyle w:val="Compact"/>
      </w:pPr>
      <w:r>
        <w:t xml:space="preserve">функция (зеленый прямоугольник): действие, «что сделать», например «Оплатить аванс агенту»;</w:t>
      </w:r>
    </w:p>
    <w:p>
      <w:pPr>
        <w:numPr>
          <w:ilvl w:val="0"/>
          <w:numId w:val="1006"/>
        </w:numPr>
        <w:pStyle w:val="Compact"/>
      </w:pPr>
      <w:r>
        <w:t xml:space="preserve">операторы: «исключающее ИЛИ» (XOR, крестик: только одна ветвь), «И» (AND: все ветви одновременно), «ИЛИ» (OR: одна или несколько);</w:t>
      </w:r>
    </w:p>
    <w:p>
      <w:pPr>
        <w:numPr>
          <w:ilvl w:val="0"/>
          <w:numId w:val="1006"/>
        </w:numPr>
        <w:pStyle w:val="Compact"/>
      </w:pPr>
      <w:r>
        <w:t xml:space="preserve">должности и организации справа от функции (кто делает), документы и ИТ-системы слева (с чем работают);</w:t>
      </w:r>
    </w:p>
    <w:p>
      <w:pPr>
        <w:numPr>
          <w:ilvl w:val="0"/>
          <w:numId w:val="1006"/>
        </w:numPr>
        <w:pStyle w:val="Compact"/>
      </w:pPr>
      <w:r>
        <w:t xml:space="preserve">интерфейс процесса: ссылка на другую модель или часть модели (у нас связывает части).</w:t>
      </w:r>
    </w:p>
    <w:p>
      <w:pPr>
        <w:pStyle w:val="FirstParagraph"/>
      </w:pPr>
      <w:r>
        <w:t xml:space="preserve">Правила eEPC: модель начинается и заканчивается событием (или интерфейсом); события и функции чередуются; решение принимает функция, а не событие, поэтому ветвление XOR стоит после функции («Рассмотреть товар и цену» → XOR → «утверждены» / «не утверждены»), а после XOR идут события-исходы.</w:t>
      </w:r>
    </w:p>
    <w:p>
      <w:pPr>
        <w:pStyle w:val="BodyText"/>
      </w:pPr>
      <w:r>
        <w:rPr>
          <w:bCs/>
          <w:b/>
        </w:rPr>
        <w:t xml:space="preserve">Буквы на связях в моделях:</w:t>
      </w:r>
      <w:r>
        <w:t xml:space="preserve"> </w:t>
      </w:r>
      <w:r>
        <w:t xml:space="preserve">О — отвечает за функцию и выполняет ее, У — участвует, С — согласует, И — получает информацию.</w:t>
      </w:r>
    </w:p>
    <w:p>
      <w:pPr>
        <w:pStyle w:val="BodyText"/>
      </w:pPr>
      <w:r>
        <w:rPr>
          <w:bCs/>
          <w:b/>
        </w:rPr>
        <w:t xml:space="preserve">Почему eEPC, а не BPMN.</w:t>
      </w:r>
      <w:r>
        <w:t xml:space="preserve"> </w:t>
      </w:r>
      <w:r>
        <w:t xml:space="preserve">Задание связано с ARIS, а eEPC — основная нотация ARIS для хода процесса. На одной схеме видно не только порядок работ, но и исполнителя каждой функции, документы и ИТ-системы, а для анализа нам важны как раз передачи работы между подразделениями. BPMN показывает то же через пулы и дорожки и лучше подходит для автоматизации и обмена сообщениями между участниками.</w:t>
      </w:r>
    </w:p>
    <w:p>
      <w:pPr>
        <w:pStyle w:val="BodyText"/>
      </w:pPr>
      <w:r>
        <w:rPr>
          <w:bCs/>
          <w:b/>
        </w:rPr>
        <w:t xml:space="preserve">IDEF0 и диаграмма А-0.</w:t>
      </w:r>
      <w:r>
        <w:t xml:space="preserve"> </w:t>
      </w:r>
      <w:r>
        <w:t xml:space="preserve">Методология функционального моделирования (в России — Р 50.1.028-2001, источник 11). Контекстная диаграмма А-0 — один блок, весь процесс, и стрелки по правилу ICOM: слева входы (Input), сверху управление (Control: законы, правила), справа выходы (Output), снизу механизмы (Mechanism: исполнители и ресурсы). Мы ее взяли, чтобы наглядно показать границы процесса.</w:t>
      </w:r>
    </w:p>
    <w:p>
      <w:pPr>
        <w:pStyle w:val="BodyText"/>
      </w:pPr>
      <w:r>
        <w:rPr>
          <w:bCs/>
          <w:b/>
        </w:rPr>
        <w:t xml:space="preserve">RACI.</w:t>
      </w:r>
      <w:r>
        <w:t xml:space="preserve"> </w:t>
      </w:r>
      <w:r>
        <w:t xml:space="preserve">Матрица ответственности: R исполняет, A отвечает за результат и утверждает (на этапе ровно один A), C консультирует, I информируется. Таблица 7.</w:t>
      </w:r>
    </w:p>
    <w:p>
      <w:pPr>
        <w:pStyle w:val="BodyText"/>
      </w:pPr>
      <w:r>
        <w:rPr>
          <w:bCs/>
          <w:b/>
        </w:rPr>
        <w:t xml:space="preserve">«Пять почему».</w:t>
      </w:r>
      <w:r>
        <w:t xml:space="preserve"> </w:t>
      </w:r>
      <w:r>
        <w:t xml:space="preserve">Метод поиска коренной причины (из производственной системы Toyota): вопрос «почему?» задают по цепочке, пока не дойдут до причины, которую можно устранить управленческим решением.</w:t>
      </w:r>
    </w:p>
    <w:p>
      <w:pPr>
        <w:pStyle w:val="BodyText"/>
      </w:pPr>
      <w:r>
        <w:rPr>
          <w:bCs/>
          <w:b/>
        </w:rPr>
        <w:t xml:space="preserve">Результативность и эффективность.</w:t>
      </w:r>
      <w:r>
        <w:t xml:space="preserve"> </w:t>
      </w:r>
      <w:r>
        <w:t xml:space="preserve">Результативность — достигнут ли результат (товар раньше, к сезону, без простоя на СВХ). Эффективность — каким расходом ресурсов (чел.-часы, деньги в обороте). В разделе 12.3 новая модель лучше по обоим.</w:t>
      </w:r>
    </w:p>
    <w:p>
      <w:pPr>
        <w:pStyle w:val="BodyText"/>
      </w:pPr>
      <w:r>
        <w:rPr>
          <w:bCs/>
          <w:b/>
        </w:rPr>
        <w:t xml:space="preserve">Ожидаемое значение.</w:t>
      </w:r>
      <w:r>
        <w:t xml:space="preserve"> </w:t>
      </w:r>
      <w:r>
        <w:t xml:space="preserve">Шаги, которые бывают не в каждом заказе, взяты как доля × длительность: 30% поставок × 4 дня исправлений = 1,2 дня.</w:t>
      </w:r>
    </w:p>
    <w:p>
      <w:pPr>
        <w:pStyle w:val="BodyText"/>
      </w:pPr>
      <w:r>
        <w:rPr>
          <w:bCs/>
          <w:b/>
        </w:rPr>
        <w:t xml:space="preserve">Почему параллельные работы не добавляют дней.</w:t>
      </w:r>
      <w:r>
        <w:t xml:space="preserve"> </w:t>
      </w:r>
      <w:r>
        <w:t xml:space="preserve">Длительность цикла определяет самая длинная цепочка. Декларация (21 день), коды маркировки и бронь контейнера (1 день) короче производства (35 дней) и идут одновременно с ним, поэтому цикл не удлиняют.</w:t>
      </w:r>
    </w:p>
    <w:p>
      <w:pPr>
        <w:pStyle w:val="BodyText"/>
      </w:pPr>
      <w:r>
        <w:rPr>
          <w:bCs/>
          <w:b/>
        </w:rPr>
        <w:t xml:space="preserve">Страховой запас.</w:t>
      </w:r>
      <w:r>
        <w:t xml:space="preserve"> </w:t>
      </w:r>
      <w:r>
        <w:t xml:space="preserve">По классической формуле страховой запас пропорционален корню из срока поставки (SS = z · σ · √L). Срок короче, значит запас можно держать меньше: √(94,7/149,1) ≈ 0,797.</w:t>
      </w:r>
    </w:p>
    <w:bookmarkEnd w:id="29"/>
    <w:bookmarkStart w:id="30" w:name="предметная-часть-термины-импорта"/>
    <w:p>
      <w:pPr>
        <w:pStyle w:val="Heading1"/>
      </w:pPr>
      <w:r>
        <w:t xml:space="preserve">7. Предметная часть: термины импорта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Торговый агент</w:t>
      </w:r>
      <w:r>
        <w:t xml:space="preserve"> </w:t>
      </w:r>
      <w:r>
        <w:t xml:space="preserve">— посредник в Китае, подбирает фабрики, собирает каталоги, контролирует фабрику. Fix Price работает с фабриками через агентов, без дистрибьюторов [22].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Ценовая точка</w:t>
      </w:r>
      <w:r>
        <w:t xml:space="preserve"> </w:t>
      </w:r>
      <w:r>
        <w:t xml:space="preserve">— фиксированный уровень цены на полке; товар подбирается так, чтобы с учетом всех затрат уложиться в нее.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Себестоимость партии</w:t>
      </w:r>
      <w:r>
        <w:t xml:space="preserve"> </w:t>
      </w:r>
      <w:r>
        <w:t xml:space="preserve">— цена фабрики плюс доставка, таможенные платежи, услуги брокера, лаборатории и прочие расходы до РЦ.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Декларация соответствия</w:t>
      </w:r>
      <w:r>
        <w:t xml:space="preserve"> </w:t>
      </w:r>
      <w:r>
        <w:t xml:space="preserve">— документ, которым заявитель сам подтверждает соответствие товара техническим регламентам ЕАЭС на основании протоколов испытаний (в отличие от сертификата, который выдает орган по сертификации). Регламенты в работе: ТР ТС 004/2011 (низковольтное оборудование), 007/2011 (товары для детей), 008/2011 (игрушки), 020/2011 (электромагнитная совместимость).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Маркировка, «Честный знак» (ГИС МТ)</w:t>
      </w:r>
      <w:r>
        <w:t xml:space="preserve"> </w:t>
      </w:r>
      <w:r>
        <w:t xml:space="preserve">— государственная система маркировки: на товар наносится код, его заказывают заранее и передают фабрике. Основание — постановление Правительства № 515.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Валютный контроль</w:t>
      </w:r>
      <w:r>
        <w:t xml:space="preserve"> </w:t>
      </w:r>
      <w:r>
        <w:t xml:space="preserve">— 173-ФЗ и Инструкция Банка России № 181-И: банк проверяет платежи по внешнеторговому контракту; импортный контракт ставится на учет в банке, если сумма от 3 млн руб.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Инвойс</w:t>
      </w:r>
      <w:r>
        <w:t xml:space="preserve"> </w:t>
      </w:r>
      <w:r>
        <w:t xml:space="preserve">(счет-фактура продавца),</w:t>
      </w:r>
      <w:r>
        <w:t xml:space="preserve"> </w:t>
      </w:r>
      <w:r>
        <w:rPr>
          <w:bCs/>
          <w:b/>
        </w:rPr>
        <w:t xml:space="preserve">упаковочный лист</w:t>
      </w:r>
      <w:r>
        <w:t xml:space="preserve"> </w:t>
      </w:r>
      <w:r>
        <w:t xml:space="preserve">(что и как упаковано),</w:t>
      </w:r>
      <w:r>
        <w:t xml:space="preserve"> </w:t>
      </w:r>
      <w:r>
        <w:rPr>
          <w:bCs/>
          <w:b/>
        </w:rPr>
        <w:t xml:space="preserve">коносамент</w:t>
      </w:r>
      <w:r>
        <w:t xml:space="preserve"> </w:t>
      </w:r>
      <w:r>
        <w:t xml:space="preserve">(bill of lading: документ морской перевозки, подтверждает погрузку и дает право распоряжаться грузом).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Оплата против копии коносамента</w:t>
      </w:r>
      <w:r>
        <w:t xml:space="preserve"> </w:t>
      </w:r>
      <w:r>
        <w:t xml:space="preserve">— остаток платится после отгрузки, когда агент прислал копию коносамента. Деньги уходят позже, а покупатель защищен: товар уже погружен.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Инкотермс 2020</w:t>
      </w:r>
      <w:r>
        <w:t xml:space="preserve"> </w:t>
      </w:r>
      <w:r>
        <w:t xml:space="preserve">— правила распределения обязанностей и рисков между продавцом и покупателем. В модели контейнер бронирует сама компания через экспедитора, это соответствует условиям группы F (например, FOB: продавец грузит товар на судно в порту Китая, основную перевозку оплачивает покупатель).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Экспедитор</w:t>
      </w:r>
      <w:r>
        <w:t xml:space="preserve"> </w:t>
      </w:r>
      <w:r>
        <w:t xml:space="preserve">— организует перевозку, бронирует контейнер, сообщает статус.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СВХ</w:t>
      </w:r>
      <w:r>
        <w:t xml:space="preserve"> </w:t>
      </w:r>
      <w:r>
        <w:t xml:space="preserve">(склад временного хранения) — склад, где товар ждет таможенного оформления; простой стоит денег.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Декларация на товары (ДТ)</w:t>
      </w:r>
      <w:r>
        <w:t xml:space="preserve"> </w:t>
      </w:r>
      <w:r>
        <w:t xml:space="preserve">— таможенная декларация, ее подает таможенный представитель (брокер).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Предварительное декларирование</w:t>
      </w:r>
      <w:r>
        <w:t xml:space="preserve"> </w:t>
      </w:r>
      <w:r>
        <w:t xml:space="preserve">— ДТ подается до прибытия товара (ТК ЕАЭС это допускает), поэтому выпуск возможен сразу по прибытии.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Авансовые платежи</w:t>
      </w:r>
      <w:r>
        <w:t xml:space="preserve"> </w:t>
      </w:r>
      <w:r>
        <w:t xml:space="preserve">— деньги, внесенные на счет таможни заранее, в счет будущих пошлин и налогов.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Выпуск товаров</w:t>
      </w:r>
      <w:r>
        <w:t xml:space="preserve"> </w:t>
      </w:r>
      <w:r>
        <w:t xml:space="preserve">— решение таможни, после которого товар можно использовать в России.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ETA</w:t>
      </w:r>
      <w:r>
        <w:t xml:space="preserve"> </w:t>
      </w:r>
      <w:r>
        <w:t xml:space="preserve">(estimated time of arrival) — ожидаемая дата прибытия.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РЦ</w:t>
      </w:r>
      <w:r>
        <w:t xml:space="preserve"> </w:t>
      </w:r>
      <w:r>
        <w:t xml:space="preserve">— распределительный центр;</w:t>
      </w:r>
      <w:r>
        <w:t xml:space="preserve"> </w:t>
      </w:r>
      <w:r>
        <w:rPr>
          <w:bCs/>
          <w:b/>
        </w:rPr>
        <w:t xml:space="preserve">LEAD WMS</w:t>
      </w:r>
      <w:r>
        <w:t xml:space="preserve"> </w:t>
      </w:r>
      <w:r>
        <w:t xml:space="preserve">— система управления складом на РЦ Fix Price [23].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Служебная записка</w:t>
      </w:r>
      <w:r>
        <w:t xml:space="preserve"> </w:t>
      </w:r>
      <w:r>
        <w:t xml:space="preserve">— внутренний документ на согласование платежа; в TO BE ее заменяет платежный календарь.</w:t>
      </w:r>
    </w:p>
    <w:bookmarkEnd w:id="30"/>
    <w:bookmarkStart w:id="31" w:name="вопросы-которые-могут-задать-и-ответы"/>
    <w:p>
      <w:pPr>
        <w:pStyle w:val="Heading1"/>
      </w:pPr>
      <w:r>
        <w:t xml:space="preserve">8. Вопросы, которые могут задать, и ответы</w:t>
      </w:r>
    </w:p>
    <w:p>
      <w:pPr>
        <w:pStyle w:val="FirstParagraph"/>
      </w:pPr>
      <w:r>
        <w:rPr>
          <w:bCs/>
          <w:b/>
        </w:rPr>
        <w:t xml:space="preserve">Почему Fix Price и почему именно этот процесс?</w:t>
      </w:r>
      <w:r>
        <w:t xml:space="preserve"> </w:t>
      </w:r>
      <w:r>
        <w:t xml:space="preserve">Это крупная реальная сеть с открытыми данными. Процесс импорта самый длинный в закупках (около пяти месяцев), в нем много участников, и главные потери как раз на стыках. Он напрямую связан с идеей сети: уложиться в ценовую точку и успеть к сезону. И компания сама его развивает: в декабре 2025 года обновила ИТ-сервис для поставщиков из Китая [21].</w:t>
      </w:r>
    </w:p>
    <w:p>
      <w:pPr>
        <w:pStyle w:val="BodyText"/>
      </w:pPr>
      <w:r>
        <w:rPr>
          <w:bCs/>
          <w:b/>
        </w:rPr>
        <w:t xml:space="preserve">Откуда вы взяли сроки, доли и трудозатраты?</w:t>
      </w:r>
      <w:r>
        <w:t xml:space="preserve"> </w:t>
      </w:r>
      <w:r>
        <w:t xml:space="preserve">Это оценки модели. Компания не публикует внутренние регламенты и сроки. Модель построена по открытым сведениям о компании, нормативным актам и типовой практике импорта из Китая через агентов. В работе это сказано прямо (введение, разделы 1, 5, 10), а в разделе 5 описано, как получить фактические данные: интервью, регламенты, выгрузки из ИТ-сервиса, учетной системы и LEAD WMS, хронометраж.</w:t>
      </w:r>
    </w:p>
    <w:p>
      <w:pPr>
        <w:pStyle w:val="BodyText"/>
      </w:pPr>
      <w:r>
        <w:rPr>
          <w:bCs/>
          <w:b/>
        </w:rPr>
        <w:t xml:space="preserve">Какие методы вы применили на самом деле?</w:t>
      </w:r>
      <w:r>
        <w:t xml:space="preserve"> </w:t>
      </w:r>
      <w:r>
        <w:t xml:space="preserve">Анализ открытых источников, анализ нормативных актов и моделирование. Остальные (интервью, анализ регламентов, данные ИТ-систем, хронометраж) требуют доступа внутрь компании, поэтому они даны как план обследования.</w:t>
      </w:r>
    </w:p>
    <w:p>
      <w:pPr>
        <w:pStyle w:val="BodyText"/>
      </w:pPr>
      <w:r>
        <w:rPr>
          <w:bCs/>
          <w:b/>
        </w:rPr>
        <w:t xml:space="preserve">Почему такие границы процесса?</w:t>
      </w:r>
      <w:r>
        <w:t xml:space="preserve"> </w:t>
      </w:r>
      <w:r>
        <w:t xml:space="preserve">Начало — утвержденный план закупок, конец — товар на РЦ, распределение рассчитано, можно везти в магазины. Так модель покрывает весь период, когда деньги уже заплачены (аванс, остаток, пошлины), а товар еще нельзя продать. Если закончить выпуском с таможни, выпадут доставка, приемка и распределение. Если начать с размещения заказа, выпадет согласование образца, где теряется много времени.</w:t>
      </w:r>
    </w:p>
    <w:p>
      <w:pPr>
        <w:pStyle w:val="BodyText"/>
      </w:pPr>
      <w:r>
        <w:rPr>
          <w:bCs/>
          <w:b/>
        </w:rPr>
        <w:t xml:space="preserve">Кто владелец процесса и почему?</w:t>
      </w:r>
      <w:r>
        <w:t xml:space="preserve"> </w:t>
      </w:r>
      <w:r>
        <w:t xml:space="preserve">Руководитель отдела импорта: отдел ведет заказ от размещения до поступления на РЦ и организует остальных участников.</w:t>
      </w:r>
    </w:p>
    <w:p>
      <w:pPr>
        <w:pStyle w:val="BodyText"/>
      </w:pPr>
      <w:r>
        <w:rPr>
          <w:bCs/>
          <w:b/>
        </w:rPr>
        <w:t xml:space="preserve">Что такое «отдел импорта» в Fix Price?</w:t>
      </w:r>
      <w:r>
        <w:t xml:space="preserve"> </w:t>
      </w:r>
      <w:r>
        <w:t xml:space="preserve">Полной структуры компания не публикует. Это подразделение коммерческой дирекции, которое отвечает за импорт; в работе оно условно названо отделом импорта, и это сказано в разделе 1.</w:t>
      </w:r>
    </w:p>
    <w:p>
      <w:pPr>
        <w:pStyle w:val="BodyText"/>
      </w:pPr>
      <w:r>
        <w:rPr>
          <w:bCs/>
          <w:b/>
        </w:rPr>
        <w:t xml:space="preserve">Почему оргструктура укрупненная?</w:t>
      </w:r>
      <w:r>
        <w:t xml:space="preserve"> </w:t>
      </w:r>
      <w:r>
        <w:t xml:space="preserve">Полная структура не публикуется. Показаны дирекции и подразделения, участвующие в процессе, названия обобщенные. Тип структуры — линейно-функциональная.</w:t>
      </w:r>
    </w:p>
    <w:p>
      <w:pPr>
        <w:pStyle w:val="BodyText"/>
      </w:pPr>
      <w:r>
        <w:rPr>
          <w:bCs/>
          <w:b/>
        </w:rPr>
        <w:t xml:space="preserve">Сколько участников в процессе?</w:t>
      </w:r>
      <w:r>
        <w:t xml:space="preserve"> </w:t>
      </w:r>
      <w:r>
        <w:t xml:space="preserve">Шесть подразделений: категорийный менеджмент, отдел импорта, служба контроля качества, финансовая служба, транспортная логистика, РЦ. Семь внешних: агент, фабрика, лаборатория, банк, экспедитор, таможенный представитель, таможенный орган.</w:t>
      </w:r>
    </w:p>
    <w:p>
      <w:pPr>
        <w:pStyle w:val="BodyText"/>
      </w:pPr>
      <w:r>
        <w:rPr>
          <w:bCs/>
          <w:b/>
        </w:rPr>
        <w:t xml:space="preserve">Что показывает модель AS IS?</w:t>
      </w:r>
      <w:r>
        <w:t xml:space="preserve"> </w:t>
      </w:r>
      <w:r>
        <w:t xml:space="preserve">Что из 149,1 дня цикла 70 дней — производство и перевозка, на которые компания почти не влияет, а 79,1 дня — собственные операции, согласования и ожидания. Именно их и сокращает TO BE.</w:t>
      </w:r>
    </w:p>
    <w:p>
      <w:pPr>
        <w:pStyle w:val="BodyText"/>
      </w:pPr>
      <w:r>
        <w:rPr>
          <w:bCs/>
          <w:b/>
        </w:rPr>
        <w:t xml:space="preserve">В чем главная идея TO BE?</w:t>
      </w:r>
      <w:r>
        <w:t xml:space="preserve"> </w:t>
      </w:r>
      <w:r>
        <w:t xml:space="preserve">Не ускорять фабрику и судно, а убрать ожидания: то, что можно сделать заранее, делается во время производства и перевозки, параллельно.</w:t>
      </w:r>
    </w:p>
    <w:p>
      <w:pPr>
        <w:pStyle w:val="BodyText"/>
      </w:pPr>
      <w:r>
        <w:rPr>
          <w:bCs/>
          <w:b/>
        </w:rPr>
        <w:t xml:space="preserve">Почему управляемая часть сократилась на те же 54,4 дня, что и весь цикл?</w:t>
      </w:r>
      <w:r>
        <w:t xml:space="preserve"> </w:t>
      </w:r>
      <w:r>
        <w:t xml:space="preserve">Потому что производство и перевозка (70 дней) не изменились, все сокращение пришлось на управляемую часть: 79,1 − 24,7 = 54,4. В процентах это 68,8% от управляемой части и 36,5% от всего цикла.</w:t>
      </w:r>
    </w:p>
    <w:p>
      <w:pPr>
        <w:pStyle w:val="BodyText"/>
      </w:pPr>
      <w:r>
        <w:rPr>
          <w:bCs/>
          <w:b/>
        </w:rPr>
        <w:t xml:space="preserve">Как считали длительность цикла?</w:t>
      </w:r>
      <w:r>
        <w:t xml:space="preserve"> </w:t>
      </w:r>
      <w:r>
        <w:t xml:space="preserve">Сумма длительностей десяти этапов. Редкие шаги (повторный образец, переделка, брак, исправления, претензии) взяты как доля × длительность. Параллельные работы в TO BE к циклу не прибавляются, так как они короче производства или перевозки.</w:t>
      </w:r>
    </w:p>
    <w:p>
      <w:pPr>
        <w:pStyle w:val="BodyText"/>
      </w:pPr>
      <w:r>
        <w:rPr>
          <w:bCs/>
          <w:b/>
        </w:rPr>
        <w:t xml:space="preserve">Почему в TO BE этап 4 занимает 3 дня, а не 17,5?</w:t>
      </w:r>
      <w:r>
        <w:t xml:space="preserve"> </w:t>
      </w:r>
      <w:r>
        <w:t xml:space="preserve">Декларация ушла в параллельную ветвь во время производства (И2), служебной записки нет, платеж заранее стоит в платежном календаре (И4). Остается только прохождение платежа, по оценке 3 дня.</w:t>
      </w:r>
    </w:p>
    <w:p>
      <w:pPr>
        <w:pStyle w:val="BodyText"/>
      </w:pPr>
      <w:r>
        <w:rPr>
          <w:bCs/>
          <w:b/>
        </w:rPr>
        <w:t xml:space="preserve">Почему на этапе 5 трудозатраты выросли (3 → 5 чел.-ч)?</w:t>
      </w:r>
      <w:r>
        <w:t xml:space="preserve"> </w:t>
      </w:r>
      <w:r>
        <w:t xml:space="preserve">Туда перенесены сертификация и бронирование контейнера. Работа не исчезла, она просто делается раньше, пока партия производится, и не задерживает товар.</w:t>
      </w:r>
    </w:p>
    <w:p>
      <w:pPr>
        <w:pStyle w:val="BodyText"/>
      </w:pPr>
      <w:r>
        <w:rPr>
          <w:bCs/>
          <w:b/>
        </w:rPr>
        <w:t xml:space="preserve">Почему не посчитан экономический эффект в рублях?</w:t>
      </w:r>
      <w:r>
        <w:t xml:space="preserve"> </w:t>
      </w:r>
      <w:r>
        <w:t xml:space="preserve">Годовой эффект зависит от числа контейнеров в год, а Fix Price его не публикует. Поэтому эффект дан на один контейнер: время, трудозатраты, дни, когда деньги вложены в товар.</w:t>
      </w:r>
    </w:p>
    <w:p>
      <w:pPr>
        <w:pStyle w:val="BodyText"/>
      </w:pPr>
      <w:r>
        <w:rPr>
          <w:bCs/>
          <w:b/>
        </w:rPr>
        <w:t xml:space="preserve">Почему страховой запас считается через корень?</w:t>
      </w:r>
      <w:r>
        <w:t xml:space="preserve"> </w:t>
      </w:r>
      <w:r>
        <w:t xml:space="preserve">По классической формуле страхового запаса он пропорционален корню из срока поставки. Срок короче в 149,1/94,7 раза, запас — в корень из этого числа, около 80% от прежнего.</w:t>
      </w:r>
    </w:p>
    <w:p>
      <w:pPr>
        <w:pStyle w:val="BodyText"/>
      </w:pPr>
      <w:r>
        <w:rPr>
          <w:bCs/>
          <w:b/>
        </w:rPr>
        <w:t xml:space="preserve">Что значит «деньги заморожены в товаре» и почему 104,2 → 78,5?</w:t>
      </w:r>
      <w:r>
        <w:t xml:space="preserve"> </w:t>
      </w:r>
      <w:r>
        <w:t xml:space="preserve">Это дни от оплаты аванса до готовности товара к отгрузке в магазины (этапы 5–10): деньги уже потрачены, а товар продать нельзя. Сокращение на 24,7% — меньше нагрузка на оборотные средства.</w:t>
      </w:r>
    </w:p>
    <w:p>
      <w:pPr>
        <w:pStyle w:val="BodyText"/>
      </w:pPr>
      <w:r>
        <w:rPr>
          <w:bCs/>
          <w:b/>
        </w:rPr>
        <w:t xml:space="preserve">Какие риски у TO BE?</w:t>
      </w:r>
      <w:r>
        <w:t xml:space="preserve"> </w:t>
      </w:r>
      <w:r>
        <w:t xml:space="preserve">Агенты должны согласиться на оплату против копии коносамента (иначе цикл короче на 49,4 дня, а не 54,4). Фото и видео подходят не всем товарам (игрушки с механизмами, текстиль). Испытания могут не пройти, когда партия уже сделана: испытывать первые изделия и прописать в договоре переделку за счет агента. Предварительное декларирование требует точных документов, поэтому И6 работает только вместе с проверкой проектов документов. Сроки платежей в юанях зависят от банков.</w:t>
      </w:r>
    </w:p>
    <w:p>
      <w:pPr>
        <w:pStyle w:val="BodyText"/>
      </w:pPr>
      <w:r>
        <w:rPr>
          <w:bCs/>
          <w:b/>
        </w:rPr>
        <w:t xml:space="preserve">Почему изменения внедрять именно в таком порядке?</w:t>
      </w:r>
      <w:r>
        <w:t xml:space="preserve"> </w:t>
      </w:r>
      <w:r>
        <w:t xml:space="preserve">Первыми — те, что почти ничего не стоят (И3, И5, И6). Потом — требующие доработки ИТ-сервиса и учетной системы (И4, И7, И8). Последними — меняющие работу людей (И1, И2).</w:t>
      </w:r>
    </w:p>
    <w:p>
      <w:pPr>
        <w:pStyle w:val="BodyText"/>
      </w:pPr>
      <w:r>
        <w:rPr>
          <w:bCs/>
          <w:b/>
        </w:rPr>
        <w:t xml:space="preserve">Что общего у всех проблем?</w:t>
      </w:r>
      <w:r>
        <w:t xml:space="preserve"> </w:t>
      </w:r>
      <w:r>
        <w:t xml:space="preserve">Работы, которые можно сделать заранее или параллельно, начинаются только тогда, когда без них нельзя идти дальше, и ожидания складываются друг за другом.</w:t>
      </w:r>
    </w:p>
    <w:p>
      <w:pPr>
        <w:pStyle w:val="BodyText"/>
      </w:pPr>
      <w:r>
        <w:rPr>
          <w:bCs/>
          <w:b/>
        </w:rPr>
        <w:t xml:space="preserve">Чем RACI в таблице 7 отличается от букв на схемах?</w:t>
      </w:r>
      <w:r>
        <w:t xml:space="preserve"> </w:t>
      </w:r>
      <w:r>
        <w:t xml:space="preserve">RACI дана по этапам и по подразделениям, на ней одна буква A на этап. Буквы на схемах (О, У, С, И) — это типы связей ARIS у конкретной функции и конкретной должности. Смысл близкий: О ≈ R (и A для функции), У ≈ участвует, С ≈ C, И ≈ I.</w:t>
      </w:r>
    </w:p>
    <w:p>
      <w:pPr>
        <w:pStyle w:val="BodyText"/>
      </w:pPr>
      <w:r>
        <w:rPr>
          <w:bCs/>
          <w:b/>
        </w:rPr>
        <w:t xml:space="preserve">Почему в RACI на этапе 4 «A» у отдела импорта, а работу делает служба качества?</w:t>
      </w:r>
      <w:r>
        <w:t xml:space="preserve"> </w:t>
      </w:r>
      <w:r>
        <w:t xml:space="preserve">Отдел импорта отвечает за заказ целиком и координирует участников, а декларацию оформляет служба качества (R), платит финансовая служба (R).</w:t>
      </w:r>
    </w:p>
    <w:p>
      <w:pPr>
        <w:pStyle w:val="BodyText"/>
      </w:pPr>
      <w:r>
        <w:rPr>
          <w:bCs/>
          <w:b/>
        </w:rPr>
        <w:t xml:space="preserve">Как проверить, что модель верна?</w:t>
      </w:r>
      <w:r>
        <w:t xml:space="preserve"> </w:t>
      </w:r>
      <w:r>
        <w:t xml:space="preserve">По датам статусов в ИТ-сервисе для поставщиков, датам платежей в учетной системе, датам приемки в LEAD WMS, по декларациям на товары и актам расхождений, плюс интервью по вопросам из раздела 7 и хронометраж.</w:t>
      </w:r>
    </w:p>
    <w:p>
      <w:pPr>
        <w:pStyle w:val="BodyText"/>
      </w:pPr>
      <w:r>
        <w:rPr>
          <w:bCs/>
          <w:b/>
        </w:rPr>
        <w:t xml:space="preserve">Какие показатели отслеживать после внедрения?</w:t>
      </w:r>
      <w:r>
        <w:t xml:space="preserve"> </w:t>
      </w:r>
      <w:r>
        <w:t xml:space="preserve">Длительность цикла и его управляемой части, время согласования образца, время от готовности до отгрузки, простой на СВХ, долю исправлений документов, срок претензии, трудозатраты на контейнер (таблица 14).</w:t>
      </w:r>
    </w:p>
    <w:p>
      <w:pPr>
        <w:pStyle w:val="BodyText"/>
      </w:pPr>
      <w:r>
        <w:rPr>
          <w:bCs/>
          <w:b/>
        </w:rPr>
        <w:t xml:space="preserve">Чем декларация соответствия отличается от сертификата?</w:t>
      </w:r>
      <w:r>
        <w:t xml:space="preserve"> </w:t>
      </w:r>
      <w:r>
        <w:t xml:space="preserve">Декларацию принимает сам заявитель на основании испытаний, сертификат выдает орган по сертификации. Какая форма нужна, определяет технический регламент для конкретного товара.</w:t>
      </w:r>
    </w:p>
    <w:p>
      <w:pPr>
        <w:pStyle w:val="BodyText"/>
      </w:pPr>
      <w:r>
        <w:rPr>
          <w:bCs/>
          <w:b/>
        </w:rPr>
        <w:t xml:space="preserve">Зачем коды маркировки передают фабрике?</w:t>
      </w:r>
      <w:r>
        <w:t xml:space="preserve"> </w:t>
      </w:r>
      <w:r>
        <w:t xml:space="preserve">Коды наносятся на товар до ввоза, иначе маркированный товар нельзя будет принять и продавать. Поэтому их заказывают в «Честном знаке» заранее.</w:t>
      </w:r>
    </w:p>
    <w:p>
      <w:pPr>
        <w:pStyle w:val="BodyText"/>
      </w:pPr>
      <w:r>
        <w:rPr>
          <w:bCs/>
          <w:b/>
        </w:rPr>
        <w:t xml:space="preserve">Где у вас Инкотермс?</w:t>
      </w:r>
      <w:r>
        <w:t xml:space="preserve"> </w:t>
      </w:r>
      <w:r>
        <w:t xml:space="preserve">В нормативной базе процесса. Конкретный базис компания не публикует; в модели контейнер бронирует сама компания через экспедитора, это условия группы F (например, FOB).</w:t>
      </w:r>
    </w:p>
    <w:p>
      <w:pPr>
        <w:pStyle w:val="BodyText"/>
      </w:pPr>
      <w:r>
        <w:rPr>
          <w:bCs/>
          <w:b/>
        </w:rPr>
        <w:t xml:space="preserve">Что такое интерфейс процесса на схемах?</w:t>
      </w:r>
      <w:r>
        <w:t xml:space="preserve"> </w:t>
      </w:r>
      <w:r>
        <w:t xml:space="preserve">Ссылка на другую модель или часть модели. Модель большая, поэтому части связаны интерфейсами: конец одной части — начало следующей. Первая часть начинается с интерфейса процесса О1, последняя заканчивается интерфейсом процесса О3.</w:t>
      </w:r>
    </w:p>
    <w:p>
      <w:pPr>
        <w:pStyle w:val="BodyText"/>
      </w:pPr>
      <w:r>
        <w:rPr>
          <w:bCs/>
          <w:b/>
        </w:rPr>
        <w:t xml:space="preserve">Почему на схемах после «исключающего ИЛИ» стоят события?</w:t>
      </w:r>
      <w:r>
        <w:t xml:space="preserve"> </w:t>
      </w:r>
      <w:r>
        <w:t xml:space="preserve">По правилам eEPC решение принимает функция, а исходы решения — это события («Товар и цена утверждены» / «Товар не утвержден»). Событие само решений не принимает.</w:t>
      </w:r>
    </w:p>
    <w:p>
      <w:pPr>
        <w:pStyle w:val="BodyText"/>
      </w:pPr>
      <w:r>
        <w:rPr>
          <w:bCs/>
          <w:b/>
        </w:rPr>
        <w:t xml:space="preserve">Где на схемах проблемы и изменения?</w:t>
      </w:r>
      <w:r>
        <w:t xml:space="preserve"> </w:t>
      </w:r>
      <w:r>
        <w:t xml:space="preserve">Красные метки П1–П8 над функциями AS IS, синие И1–И8 над функциями TO BE. Номера совпадают с таблицами 10 и 11.</w:t>
      </w:r>
    </w:p>
    <w:p>
      <w:pPr>
        <w:pStyle w:val="BodyText"/>
      </w:pPr>
      <w:r>
        <w:rPr>
          <w:bCs/>
          <w:b/>
        </w:rPr>
        <w:t xml:space="preserve">В какой программе построены схемы?</w:t>
      </w:r>
      <w:r>
        <w:t xml:space="preserve"> </w:t>
      </w:r>
      <w:r>
        <w:t xml:space="preserve">Схемы оформлены по правилам и обозначениям ARIS (Organizational Chart, VAD, eEPC) и по образцу модели из ARIS. Если преподаватель захочет файл именно из ARIS Express, его нужно будет перестроить в программе по готовым рисункам. Лучше сделать это до защиты, хотя бы одну часть, чтобы уверенно показать, как это выглядит в программе.</w:t>
      </w:r>
    </w:p>
    <w:bookmarkEnd w:id="31"/>
    <w:bookmarkStart w:id="32" w:name="слабые-места-и-как-о-них-говорить"/>
    <w:p>
      <w:pPr>
        <w:pStyle w:val="Heading1"/>
      </w:pPr>
      <w:r>
        <w:t xml:space="preserve">9. Слабые места и как о них говорить</w:t>
      </w:r>
    </w:p>
    <w:p>
      <w:pPr>
        <w:pStyle w:val="FirstParagraph"/>
      </w:pPr>
      <w:r>
        <w:t xml:space="preserve">Говорить спокойно и прямо, не спорить.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Цифры оценочные.</w:t>
      </w:r>
      <w:r>
        <w:t xml:space="preserve"> </w:t>
      </w:r>
      <w:r>
        <w:t xml:space="preserve">«Да, внутренние сроки компания не публикует. Модель показывает, где теряется время и почему, а точные значения нужно снять в компании методами из раздела 5. Направление изменений совпадает с тем, что Fix Price сам делает в ИТ-сервисе для поставщиков [21]».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Оргструктура укрупненная.</w:t>
      </w:r>
      <w:r>
        <w:t xml:space="preserve"> </w:t>
      </w:r>
      <w:r>
        <w:t xml:space="preserve">«Полная структура не публикуется, показаны подразделения, которые участвуют в процессе».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Нет годового эффекта в рублях.</w:t>
      </w:r>
      <w:r>
        <w:t xml:space="preserve"> </w:t>
      </w:r>
      <w:r>
        <w:t xml:space="preserve">«Нет данных о числе контейнеров в год, поэтому эффект посчитан на один контейнер».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 BE зависит от агентов.</w:t>
      </w:r>
      <w:r>
        <w:t xml:space="preserve"> </w:t>
      </w:r>
      <w:r>
        <w:t xml:space="preserve">«Да, это первый риск в разделе 12.4; без оплаты против копии коносамента цикл сокращается на 49,4 дня вместо 54,4».</w:t>
      </w:r>
    </w:p>
    <w:bookmarkEnd w:id="32"/>
    <w:bookmarkStart w:id="33" w:name="список-источников-что-откуда"/>
    <w:p>
      <w:pPr>
        <w:pStyle w:val="Heading1"/>
      </w:pPr>
      <w:r>
        <w:t xml:space="preserve">10. Список источников: что откуда</w:t>
      </w:r>
    </w:p>
    <w:p>
      <w:pPr>
        <w:numPr>
          <w:ilvl w:val="0"/>
          <w:numId w:val="1009"/>
        </w:numPr>
        <w:pStyle w:val="Compact"/>
      </w:pPr>
      <w:r>
        <w:t xml:space="preserve">1–5: нормативка (ТК ЕАЭС, 289-ФЗ о таможенном регулировании, 173-ФЗ о валютном контроле, Инструкция ЦБ 181-И, ПП № 515 о маркировке).</w:t>
      </w:r>
    </w:p>
    <w:p>
      <w:pPr>
        <w:numPr>
          <w:ilvl w:val="0"/>
          <w:numId w:val="1009"/>
        </w:numPr>
        <w:pStyle w:val="Compact"/>
      </w:pPr>
      <w:r>
        <w:t xml:space="preserve">6–9: технические регламенты ТР ТС 004, 007, 008, 020.</w:t>
      </w:r>
    </w:p>
    <w:p>
      <w:pPr>
        <w:numPr>
          <w:ilvl w:val="0"/>
          <w:numId w:val="1009"/>
        </w:numPr>
        <w:pStyle w:val="Compact"/>
      </w:pPr>
      <w:r>
        <w:t xml:space="preserve">10: Инкотермс 2020.</w:t>
      </w:r>
    </w:p>
    <w:p>
      <w:pPr>
        <w:numPr>
          <w:ilvl w:val="0"/>
          <w:numId w:val="1009"/>
        </w:numPr>
        <w:pStyle w:val="Compact"/>
      </w:pPr>
      <w:r>
        <w:t xml:space="preserve">11: Р 50.1.028-2001 (IDEF0).</w:t>
      </w:r>
    </w:p>
    <w:p>
      <w:pPr>
        <w:numPr>
          <w:ilvl w:val="0"/>
          <w:numId w:val="1009"/>
        </w:numPr>
        <w:pStyle w:val="Compact"/>
      </w:pPr>
      <w:r>
        <w:t xml:space="preserve">12: Каменнова и др., «Моделирование бизнеса. Методология ARIS».</w:t>
      </w:r>
    </w:p>
    <w:p>
      <w:pPr>
        <w:numPr>
          <w:ilvl w:val="0"/>
          <w:numId w:val="1009"/>
        </w:numPr>
        <w:pStyle w:val="Compact"/>
      </w:pPr>
      <w:r>
        <w:t xml:space="preserve">13–14: Елиферов, Репин; Репин (бизнес-процессы).</w:t>
      </w:r>
    </w:p>
    <w:p>
      <w:pPr>
        <w:numPr>
          <w:ilvl w:val="0"/>
          <w:numId w:val="1009"/>
        </w:numPr>
        <w:pStyle w:val="Compact"/>
      </w:pPr>
      <w:r>
        <w:t xml:space="preserve">15: Шеер, «Моделирование бизнес-процессов» (автор ARIS).</w:t>
      </w:r>
    </w:p>
    <w:p>
      <w:pPr>
        <w:numPr>
          <w:ilvl w:val="0"/>
          <w:numId w:val="1009"/>
        </w:numPr>
        <w:pStyle w:val="Compact"/>
      </w:pPr>
      <w:r>
        <w:t xml:space="preserve">16–24: данные о Fix Price (Ведомости, пресс-релиз за 1 квартал 2026, годовой отчет 2024, интервью в Коммерсанте, Интерфакс, CNews, Inc. Russia, кейс LEAD WMS, Финансы Mail).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Arial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защите КТ № 1</dc:title>
  <dc:creator/>
  <cp:keywords/>
  <dcterms:created xsi:type="dcterms:W3CDTF">2026-10-08T11:57:17Z</dcterms:created>
  <dcterms:modified xsi:type="dcterms:W3CDTF">2026-10-08T11:57:17Z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Импорт товаров из Китая в Fix Price: что говорить и как отвечать</vt:lpwstr>
  </property>
</Properties>
</file>