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before="60" w:line="276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before="6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«САНКТ-ПЕТЕРБУРГСКИЙ ГОСУДАРСТВЕННЫЙ ЭКОНОМИЧЕСКИЙ УНИВЕРСИТЕТ»</w:t>
      </w:r>
    </w:p>
    <w:p>
      <w:pPr>
        <w:spacing w:after="0" w:before="170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АНАЛИТИЧЕСКАЯ РАБОТА</w:t>
      </w:r>
    </w:p>
    <w:p>
      <w:pPr>
        <w:spacing w:after="0" w:before="60" w:line="276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(контрольная точка № 1)</w:t>
      </w:r>
    </w:p>
    <w:p>
      <w:pPr>
        <w:spacing w:after="0" w:before="360" w:line="276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«Моделирование бизнес-процессов в международной торговле»</w:t>
      </w:r>
    </w:p>
    <w:p>
      <w:pPr>
        <w:spacing w:after="0" w:before="360" w:line="276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</w:t>
      </w:r>
    </w:p>
    <w:p>
      <w:pPr>
        <w:spacing w:after="0" w:before="6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«Моделирование и анализ бизнес-процесса импортной закупки товара ООО «НеваИмпорт»»</w:t>
      </w:r>
    </w:p>
    <w:p>
      <w:pPr>
        <w:spacing w:after="0" w:before="1300" w:line="276" w:lineRule="auto"/>
        <w:ind w:left="481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</w:t>
      </w:r>
    </w:p>
    <w:p>
      <w:pPr>
        <w:spacing w:after="0" w:before="60" w:line="276" w:lineRule="auto"/>
        <w:ind w:left="481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группы ТД-2541</w:t>
      </w:r>
    </w:p>
    <w:p>
      <w:pPr>
        <w:spacing w:after="0" w:before="60" w:line="276" w:lineRule="auto"/>
        <w:ind w:left="481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Багишев Алихан Ахадович</w:t>
      </w:r>
    </w:p>
    <w:p>
      <w:pPr>
        <w:spacing w:after="0" w:before="360" w:line="276" w:lineRule="auto"/>
        <w:ind w:left="481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after="0" w:before="60" w:line="276" w:lineRule="auto"/>
        <w:ind w:left="481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преподаватель Новицкая В. Д.</w:t>
      </w:r>
    </w:p>
    <w:p>
      <w:pPr>
        <w:spacing w:after="0" w:before="1100" w:line="276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Санкт-Петербург</w:t>
      </w:r>
    </w:p>
    <w:p>
      <w:pPr>
        <w:spacing w:after="0" w:before="0" w:line="276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pageBreakBefore/>
        <w:spacing w:after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355" w:leader="dot"/>
        </w:tabs>
        <w:spacing w:line="360" w:lineRule="auto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</w:t>
      </w:r>
    </w:p>
    <w:p>
      <w:pPr>
        <w:tabs>
          <w:tab w:val="right" w:pos="9355" w:leader="dot"/>
        </w:tabs>
        <w:spacing w:line="360" w:lineRule="auto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Объект исследования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</w:t>
      </w:r>
    </w:p>
    <w:p>
      <w:pPr>
        <w:tabs>
          <w:tab w:val="right" w:pos="9355" w:leader="dot"/>
        </w:tabs>
        <w:spacing w:line="360" w:lineRule="auto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Организационная структура объекта исследования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355" w:leader="dot"/>
        </w:tabs>
        <w:spacing w:line="360" w:lineRule="auto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Процессы верхнего уровня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7</w:t>
      </w:r>
    </w:p>
    <w:p>
      <w:pPr>
        <w:tabs>
          <w:tab w:val="right" w:pos="9355" w:leader="dot"/>
        </w:tabs>
        <w:spacing w:line="360" w:lineRule="auto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Объект бизнес-анализа и границы исследуемого процесса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8</w:t>
      </w:r>
    </w:p>
    <w:p>
      <w:pPr>
        <w:tabs>
          <w:tab w:val="right" w:pos="9355" w:leader="dot"/>
        </w:tabs>
        <w:spacing w:line="360" w:lineRule="auto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Методы исследования, инструменты и источники информации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10</w:t>
      </w:r>
    </w:p>
    <w:p>
      <w:pPr>
        <w:tabs>
          <w:tab w:val="right" w:pos="9355" w:leader="dot"/>
        </w:tabs>
        <w:spacing w:line="360" w:lineRule="auto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Цель и задачи исследования и моделирования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11</w:t>
      </w:r>
    </w:p>
    <w:p>
      <w:pPr>
        <w:tabs>
          <w:tab w:val="right" w:pos="9355" w:leader="dot"/>
        </w:tabs>
        <w:spacing w:line="360" w:lineRule="auto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Ключевые вопросы для обследования процесса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12</w:t>
      </w:r>
    </w:p>
    <w:p>
      <w:pPr>
        <w:tabs>
          <w:tab w:val="right" w:pos="9355" w:leader="dot"/>
        </w:tabs>
        <w:spacing w:line="360" w:lineRule="auto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Исследование бизнес-процесса: декомпозиция, участники, окружение, показатели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14</w:t>
      </w:r>
    </w:p>
    <w:p>
      <w:pPr>
        <w:tabs>
          <w:tab w:val="right" w:pos="9355" w:leader="dot"/>
        </w:tabs>
        <w:spacing w:line="360" w:lineRule="auto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Графическая модель процесса «AS IS» («как есть»)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18</w:t>
      </w:r>
    </w:p>
    <w:p>
      <w:pPr>
        <w:tabs>
          <w:tab w:val="right" w:pos="9355" w:leader="dot"/>
        </w:tabs>
        <w:spacing w:line="360" w:lineRule="auto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Проблемы текущего процесса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24</w:t>
      </w:r>
    </w:p>
    <w:p>
      <w:pPr>
        <w:tabs>
          <w:tab w:val="right" w:pos="9355" w:leader="dot"/>
        </w:tabs>
        <w:spacing w:line="360" w:lineRule="auto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Новая модель процесса «TO BE» («как должно быть»)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26</w:t>
      </w:r>
    </w:p>
    <w:p>
      <w:pPr>
        <w:tabs>
          <w:tab w:val="right" w:pos="9355" w:leader="dot"/>
        </w:tabs>
        <w:spacing w:line="360" w:lineRule="auto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Сравнение текущей и новой моделей процесса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33</w:t>
      </w:r>
    </w:p>
    <w:p>
      <w:pPr>
        <w:tabs>
          <w:tab w:val="right" w:pos="9355" w:leader="dot"/>
        </w:tabs>
        <w:spacing w:line="360" w:lineRule="auto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38</w:t>
      </w:r>
    </w:p>
    <w:p>
      <w:pPr>
        <w:tabs>
          <w:tab w:val="right" w:pos="9355" w:leader="dot"/>
        </w:tabs>
        <w:spacing w:line="360" w:lineRule="auto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39</w:t>
      </w:r>
    </w:p>
    <w:p>
      <w:pPr>
        <w:pStyle w:val="Heading1"/>
        <w:keepNext/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Предмет работы — моделирование бизнес-процесса импортной закупки товара в оптовой торговой компании. Для компании-импортёра этот процесс определяет, когда товар окажется на складе и во что он обойдётся: в нём сходятся отношения с иностранным поставщиком, международная перевозка, валютный и таможенный контроль. Поэтому задержки здесь стоят дорого: груз простаивает на складе временного хранения, оборотные средства заморожены в товаре в пути, а продажи теряются из-за дефицита.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Работа выполнена по пунктам задания: описаны объект исследования и его организационная структура, выделены процессы верхнего уровня, определены объект бизнес-анализа и границы процесса, методы, цель и задачи обследования, ключевые вопросы, проведена декомпозиция процесса, построены модели «как есть» (AS IS) и «как должно быть» (TO BE), выявлены проблемы текущего процесса и выполнено сравнение моделей по показателям.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Графические модели выполнены в нотациях, которые поддерживает ARIS Express: организационная структура — Organizational Chart, процессы верхнего уровня и декомпозиция процесса — диаграмма цепочки добавленной стоимости (Value-added Chain Diagram, VAD), модели AS IS и TO BE — BPMN 2.0 (Business Process Model and Notation). Границы процесса дополнительно показаны контекстной диаграммой IDEF0.</w:t>
      </w:r>
    </w:p>
    <w:p>
      <w:pPr>
        <w:pStyle w:val="Heading1"/>
        <w:keepNext/>
        <w:spacing w:after="24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Объект исследования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Объект исследования — ООО «НеваИмпорт», оптовая торговая компания из Санкт-Петербурга. Компания импортирует из Китайской Народной Республики электроинструмент, строительное оборудование и оснастку и продаёт их строительным и монтажным организациям, магазинам строительных товаров Северо-Западного федерального округа и через маркетплейсы. Характеристика компании приведена в таблице 1.</w:t>
      </w:r>
    </w:p>
    <w:p>
      <w:pPr>
        <w:keepNext/>
        <w:spacing w:after="80" w:before="200"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Характеристика объекта исследования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118"/>
        <w:gridCol w:w="6237"/>
      </w:tblGrid>
      <w:tr>
        <w:trPr>
          <w:cantSplit/>
          <w:tblHeader/>
        </w:trPr>
        <w:tc>
          <w:tcPr>
            <w:tcW w:type="dxa" w:w="3118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6237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Организационно-правовая форма</w:t>
            </w:r>
          </w:p>
        </w:tc>
        <w:tc>
          <w:tcPr>
            <w:tcW w:type="dxa" w:w="62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Общество с ограниченной ответственностью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Местонахождение</w:t>
            </w:r>
          </w:p>
        </w:tc>
        <w:tc>
          <w:tcPr>
            <w:tcW w:type="dxa" w:w="62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Санкт-Петербург; склад — Ленинградская область, около 2 500 м²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 деятельности</w:t>
            </w:r>
          </w:p>
        </w:tc>
        <w:tc>
          <w:tcPr>
            <w:tcW w:type="dxa" w:w="62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Оптовая торговля электроинструментом, строительным оборудованием и оснасткой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Ассортимент</w:t>
            </w:r>
          </w:p>
        </w:tc>
        <w:tc>
          <w:tcPr>
            <w:tcW w:type="dxa" w:w="62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Около 1 200 товарных позиций; импорт из КНР — около 85 % закупок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Поставщики</w:t>
            </w:r>
          </w:p>
        </w:tc>
        <w:tc>
          <w:tcPr>
            <w:tcW w:type="dxa" w:w="62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Шесть постоянных производителей в КНР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Объём импорта</w:t>
            </w:r>
          </w:p>
        </w:tc>
        <w:tc>
          <w:tcPr>
            <w:tcW w:type="dxa" w:w="62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Около 60 поставок в год (контейнер 40 футов на поставку)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Базис поставки</w:t>
            </w:r>
          </w:p>
        </w:tc>
        <w:tc>
          <w:tcPr>
            <w:tcW w:type="dxa" w:w="62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FOB Шанхай / Нинбо (Инкотермс 2020), морем до порта Санкт-Петербург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Условия оплаты</w:t>
            </w:r>
          </w:p>
        </w:tc>
        <w:tc>
          <w:tcPr>
            <w:tcW w:type="dxa" w:w="62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Аванс 30 % после подписания контракта, остаток 70 % до отгрузки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Клиенты</w:t>
            </w:r>
          </w:p>
        </w:tc>
        <w:tc>
          <w:tcPr>
            <w:tcW w:type="dxa" w:w="62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Строительные и монтажные организации, магазины строительных товаров, покупатели на маркетплейсах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Численность</w:t>
            </w:r>
          </w:p>
        </w:tc>
        <w:tc>
          <w:tcPr>
            <w:tcW w:type="dxa" w:w="62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41 человек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Информационные системы</w:t>
            </w:r>
          </w:p>
        </w:tc>
        <w:tc>
          <w:tcPr>
            <w:tcW w:type="dxa" w:w="62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1С:Управление торговлей 11, 1С:Бухгалтерия предприятия, MS Excel, корпоративная почта, WeChat, система «Клиент — Банк»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Внешние участники ВЭД</w:t>
            </w:r>
          </w:p>
        </w:tc>
        <w:tc>
          <w:tcPr>
            <w:tcW w:type="dxa" w:w="62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Уполномоченный банк, экспедитор, таможенный представитель, орган по сертификации</w:t>
            </w:r>
          </w:p>
        </w:tc>
      </w:tr>
    </w:tbl>
    <w:p>
      <w:pPr>
        <w:spacing w:after="120" w:line="240" w:lineRule="auto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Исследование сосредоточено на отделе закупок и ВЭД: он отвечает за импортную поставку от размещения заказа до передачи товара на склад и координирует остальных участников.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Наименование компании условное. Численность, объёмы и длительности операций в работе — допущения модели; при обследовании конкретной компании они заменяются её фактическими данными (методы сбора — в разделе 5).</w:t>
      </w:r>
    </w:p>
    <w:p>
      <w:pPr>
        <w:pStyle w:val="Heading1"/>
        <w:keepNext/>
        <w:spacing w:after="24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Организационная структура объекта исследования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Организационная структура ООО «НеваИмпорт» линейно-функциональная (рисунок 1). Генеральному директору подчинены три функциональных директора и штабные специалисты: юрист, специалист по персоналу и ИТ-служба. Коммерческий директор руководит продажами и закупками, финансовый директор — бухгалтерией и финансово-экономическим отделом, директор по логистике — транспортным отделом и складом.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3600" cy="3657600"/>
            <wp:effectExtent t="0" r="0" b="0" l="0"/>
            <wp:docPr id="1" name="org" descr="Рисунок 1 – Организационная структура ООО «НеваИмпорт» (нотация ARIS Organizational Chart)" title="Рисунок 1 – Организационная структура ООО «НеваИмпорт» (нотация ARIS Organizational Ch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Организационная структура ООО «НеваИмпорт» (нотация ARIS Organizational Chart)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Отдел закупок и ВЭД входит в коммерческую дирекцию. Обязанности внутри отдела распределены так: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руководитель отдела — план закупок, переговоры с поставщиками, контроль сроков поставок;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менеджеры по закупкам (2 чел.) — заказы поставщикам, переписка, контракты и спецификации;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специалист по ВЭД и таможенному оформлению — документы поставки, работа с таможенным представителем и с банком по валютному контролю;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специалист по сертификации — разрешительные документы: декларации соответствия техническим регламентам ЕАЭС.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Импортная поставка проходит через подразделения всех трёх директоров: заказ размещает отдел закупок и ВЭД (коммерческая дирекция), оплачивает финансовая служба, доставляют и принимают товар отдел логистики и склад. У процесса нет одного исполнителя, и каждая передача работы между дирекциями — место возможной задержки. На моделях раздела 9 эти передачи видны как переходы потока между дорожками.</w:t>
      </w:r>
    </w:p>
    <w:p>
      <w:pPr>
        <w:pStyle w:val="Heading1"/>
        <w:keepNext/>
        <w:spacing w:after="24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Процессы верхнего уровня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Процессы компании разделены на три группы: процессы управления, основные процессы, создающие ценность для клиента, и обеспечивающие процессы (рисунок 2). Основные процессы образуют цепочку: планирование закупок → импортная закупка → складская логистика → продажи → доставка и сервис.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3600" cy="3238500"/>
            <wp:effectExtent t="0" r="0" b="0" l="0"/>
            <wp:docPr id="1" name="vad" descr="Рисунок 2 – Процессы верхнего уровня ООО «НеваИмпорт» (нотация ARIS Value-added Chain Diagram)" title="Рисунок 2 – Процессы верхнего уровня ООО «НеваИмпорт» (нотация ARIS Value-added Chain Diagra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Процессы верхнего уровня ООО «НеваИмпорт» (нотация ARIS Value-added Chain Diagram)</w:t>
      </w:r>
    </w:p>
    <w:p>
      <w:pPr>
        <w:keepNext/>
        <w:spacing w:after="80" w:before="200"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Процессы верхнего уровня, их владельцы и результаты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680"/>
        <w:gridCol w:w="3118"/>
        <w:gridCol w:w="2551"/>
        <w:gridCol w:w="3006"/>
      </w:tblGrid>
      <w:tr>
        <w:trPr>
          <w:cantSplit/>
          <w:tblHeader/>
        </w:trPr>
        <w:tc>
          <w:tcPr>
            <w:tcW w:type="dxa" w:w="680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Код</w:t>
            </w:r>
          </w:p>
        </w:tc>
        <w:tc>
          <w:tcPr>
            <w:tcW w:type="dxa" w:w="3118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Процесс</w:t>
            </w:r>
          </w:p>
        </w:tc>
        <w:tc>
          <w:tcPr>
            <w:tcW w:type="dxa" w:w="2551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Владелец</w:t>
            </w:r>
          </w:p>
        </w:tc>
        <w:tc>
          <w:tcPr>
            <w:tcW w:type="dxa" w:w="3006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rPr>
          <w:cantSplit/>
          <w:tblHeader w:val="false"/>
        </w:trPr>
        <w:tc>
          <w:tcPr>
            <w:tcW w:type="dxa" w:w="680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3118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Процессы управления</w:t>
            </w:r>
          </w:p>
        </w:tc>
        <w:tc>
          <w:tcPr>
            <w:tcW w:type="dxa" w:w="2551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3006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У1</w:t>
            </w:r>
          </w:p>
        </w:tc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Стратегическое управление и планирование</w:t>
            </w:r>
          </w:p>
        </w:tc>
        <w:tc>
          <w:tcPr>
            <w:tcW w:type="dxa" w:w="25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Генеральный директор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Стратегия, годовой план продаж и закупок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У2</w:t>
            </w:r>
          </w:p>
        </w:tc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Бюджетирование и управление финансами</w:t>
            </w:r>
          </w:p>
        </w:tc>
        <w:tc>
          <w:tcPr>
            <w:tcW w:type="dxa" w:w="25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Финансовый директор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Бюджет, платёжный календарь, контроль затрат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У3</w:t>
            </w:r>
          </w:p>
        </w:tc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ассортиментом и ценообразованием</w:t>
            </w:r>
          </w:p>
        </w:tc>
        <w:tc>
          <w:tcPr>
            <w:tcW w:type="dxa" w:w="25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Коммерческий директор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Ассортиментная матрица, прайс-листы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У4</w:t>
            </w:r>
          </w:p>
        </w:tc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рисками и соответствием требованиям ВЭД</w:t>
            </w:r>
          </w:p>
        </w:tc>
        <w:tc>
          <w:tcPr>
            <w:tcW w:type="dxa" w:w="25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Генеральный директор, юрист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Контроль соблюдения валютного, таможенного и технического регулирования</w:t>
            </w:r>
          </w:p>
        </w:tc>
      </w:tr>
      <w:tr>
        <w:trPr>
          <w:cantSplit/>
          <w:tblHeader w:val="false"/>
        </w:trPr>
        <w:tc>
          <w:tcPr>
            <w:tcW w:type="dxa" w:w="680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3118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Основные процессы</w:t>
            </w:r>
          </w:p>
        </w:tc>
        <w:tc>
          <w:tcPr>
            <w:tcW w:type="dxa" w:w="2551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3006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О1</w:t>
            </w:r>
          </w:p>
        </w:tc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Планирование закупок и управление запасами</w:t>
            </w:r>
          </w:p>
        </w:tc>
        <w:tc>
          <w:tcPr>
            <w:tcW w:type="dxa" w:w="25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Руководитель отдела закупок и ВЭД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План закупок, нормативы запасов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О2</w:t>
            </w:r>
          </w:p>
        </w:tc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Импортная закупка товара</w:t>
            </w:r>
          </w:p>
        </w:tc>
        <w:tc>
          <w:tcPr>
            <w:tcW w:type="dxa" w:w="25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Руководитель отдела закупок и ВЭД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Товар на складе, себестоимость партии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О3</w:t>
            </w:r>
          </w:p>
        </w:tc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Складская логистика</w:t>
            </w:r>
          </w:p>
        </w:tc>
        <w:tc>
          <w:tcPr>
            <w:tcW w:type="dxa" w:w="25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Директор по логистике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Хранение, комплектация заказов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О4</w:t>
            </w:r>
          </w:p>
        </w:tc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Продажи: опт и маркетплейсы</w:t>
            </w:r>
          </w:p>
        </w:tc>
        <w:tc>
          <w:tcPr>
            <w:tcW w:type="dxa" w:w="25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Коммерческий директор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Заказы клиентов, выручка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О5</w:t>
            </w:r>
          </w:p>
        </w:tc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Доставка клиентам и сервис</w:t>
            </w:r>
          </w:p>
        </w:tc>
        <w:tc>
          <w:tcPr>
            <w:tcW w:type="dxa" w:w="25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Директор по логистике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Доставленные заказы, обработанные возвраты</w:t>
            </w:r>
          </w:p>
        </w:tc>
      </w:tr>
      <w:tr>
        <w:trPr>
          <w:cantSplit/>
          <w:tblHeader w:val="false"/>
        </w:trPr>
        <w:tc>
          <w:tcPr>
            <w:tcW w:type="dxa" w:w="680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3118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Обеспечивающие процессы</w:t>
            </w:r>
          </w:p>
        </w:tc>
        <w:tc>
          <w:tcPr>
            <w:tcW w:type="dxa" w:w="2551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3006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П1</w:t>
            </w:r>
          </w:p>
        </w:tc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Бухгалтерский учёт и валютный контроль</w:t>
            </w:r>
          </w:p>
        </w:tc>
        <w:tc>
          <w:tcPr>
            <w:tcW w:type="dxa" w:w="25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Финансовый директор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Учёт, отчётность, документы валютного контроля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П2</w:t>
            </w:r>
          </w:p>
        </w:tc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Подтверждение соответствия (сертификация)</w:t>
            </w:r>
          </w:p>
        </w:tc>
        <w:tc>
          <w:tcPr>
            <w:tcW w:type="dxa" w:w="25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Специалист по сертификации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Декларации соответствия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П3</w:t>
            </w:r>
          </w:p>
        </w:tc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персоналом</w:t>
            </w:r>
          </w:p>
        </w:tc>
        <w:tc>
          <w:tcPr>
            <w:tcW w:type="dxa" w:w="25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Специалист по персоналу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Подбор, обучение, кадровый учёт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П4</w:t>
            </w:r>
          </w:p>
        </w:tc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ИТ-обеспечение</w:t>
            </w:r>
          </w:p>
        </w:tc>
        <w:tc>
          <w:tcPr>
            <w:tcW w:type="dxa" w:w="25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ИТ-служба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Работа и доработка 1С, связь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П5</w:t>
            </w:r>
          </w:p>
        </w:tc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Правовое сопровождение</w:t>
            </w:r>
          </w:p>
        </w:tc>
        <w:tc>
          <w:tcPr>
            <w:tcW w:type="dxa" w:w="25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Юрист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Договоры, претензии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П6</w:t>
            </w:r>
          </w:p>
        </w:tc>
        <w:tc>
          <w:tcPr>
            <w:tcW w:type="dxa" w:w="31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Административно-хозяйственное обеспечение</w:t>
            </w:r>
          </w:p>
        </w:tc>
        <w:tc>
          <w:tcPr>
            <w:tcW w:type="dxa" w:w="25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Генеральный директор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Офис, склад, оборудование</w:t>
            </w:r>
          </w:p>
        </w:tc>
      </w:tr>
    </w:tbl>
    <w:p>
      <w:pPr>
        <w:spacing w:after="120" w:line="240" w:lineRule="auto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Для исследования выбран основной процесс О2 «Импортная закупка товара». Выбор обоснован тремя причинами. Во-первых, на импорт приходится около 85 % закупок, то есть бо́льшая часть себестоимости продаваемого товара и оборотных средств компании. Во-вторых, это самый длинный процесс компании: от решения о закупке до появления товара в продаже проходит больше четырёх месяцев. В-третьих, в нём участвуют четыре подразделения и пять внешних организаций, а потери времени возникают именно на стыках между ними.</w:t>
      </w:r>
    </w:p>
    <w:p>
      <w:pPr>
        <w:pStyle w:val="Heading1"/>
        <w:keepNext/>
        <w:spacing w:after="24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Объект бизнес-анализа и границы исследуемого процесса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Объект бизнес-анализа — бизнес-процесс О2 «Импортная закупка товара». Владелец процесса — руководитель отдела закупок и ВЭД. Границы процесса определены в таблице 3 и показаны на контекстной диаграмме (рисунок 3).</w:t>
      </w:r>
    </w:p>
    <w:p>
      <w:pPr>
        <w:keepNext/>
        <w:spacing w:after="80" w:before="200"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Границы процесса «Импортная закупка товара»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834"/>
        <w:gridCol w:w="6521"/>
      </w:tblGrid>
      <w:tr>
        <w:trPr>
          <w:cantSplit/>
          <w:tblHeader/>
        </w:trPr>
        <w:tc>
          <w:tcPr>
            <w:tcW w:type="dxa" w:w="2834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6521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Содержание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Начальное событие</w:t>
            </w:r>
          </w:p>
        </w:tc>
        <w:tc>
          <w:tcPr>
            <w:tcW w:type="dxa" w:w="65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Утверждён план закупок (потребность в товаре)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Конечное событие</w:t>
            </w:r>
          </w:p>
        </w:tc>
        <w:tc>
          <w:tcPr>
            <w:tcW w:type="dxa" w:w="65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Товар оприходован на складе, себестоимость партии рассчитана, товар доступен к продаже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Входы</w:t>
            </w:r>
          </w:p>
        </w:tc>
        <w:tc>
          <w:tcPr>
            <w:tcW w:type="dxa" w:w="65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Утверждённая потребность в товаре; коммерческие предложения поставщиков; денежные средства на оплату; товар у поставщика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Выходы</w:t>
            </w:r>
          </w:p>
        </w:tc>
        <w:tc>
          <w:tcPr>
            <w:tcW w:type="dxa" w:w="65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Товар на складе; себестоимость партии; документы поставки (контракт, спецификация, инвойс, упаковочный лист, коносамент, декларация на товары, декларации соответствия); претензия поставщику при расхождениях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Входит в процесс</w:t>
            </w:r>
          </w:p>
        </w:tc>
        <w:tc>
          <w:tcPr>
            <w:tcW w:type="dxa" w:w="65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Формирование заказа, выбор поставщика, контракт и валютный контроль, оплата, контроль производства, перевозка, таможенное оформление и подтверждение соответствия, доставка на склад, приёмка, оприходование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входит в процесс</w:t>
            </w:r>
          </w:p>
        </w:tc>
        <w:tc>
          <w:tcPr>
            <w:tcW w:type="dxa" w:w="65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Годовое планирование ассортимента (У3, О1), хранение и отгрузка клиентам (О3, О5), продажи (О4), закрытие периода и отчётность (П1), поиск новых поставщиков на выставках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Внутренние клиенты процесса</w:t>
            </w:r>
          </w:p>
        </w:tc>
        <w:tc>
          <w:tcPr>
            <w:tcW w:type="dxa" w:w="65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 оптовых продаж и отдел электронной торговли (товар к продаже), склад (товар к хранению), финансовая служба (себестоимость)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Поставщики процесса</w:t>
            </w:r>
          </w:p>
        </w:tc>
        <w:tc>
          <w:tcPr>
            <w:tcW w:type="dxa" w:w="65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 закупок (план), иностранные поставщики, банк, экспедитор, таможенный представитель, орган по сертификации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Нормативная база</w:t>
            </w:r>
          </w:p>
        </w:tc>
        <w:tc>
          <w:tcPr>
            <w:tcW w:type="dxa" w:w="65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Таможенный кодекс ЕАЭС; Федеральный закон № 289-ФЗ; Федеральный закон № 173-ФЗ; Инструкция Банка России № 181-И; технические регламенты ЕАЭС (ТР ТС 004/2011, ТР ТС 020/2011, для части оборудования — ТР ТС 010/2011); Инкотермс 2020; регламенты компании</w:t>
            </w:r>
          </w:p>
        </w:tc>
      </w:tr>
    </w:tbl>
    <w:p>
      <w:pPr>
        <w:spacing w:after="120" w:line="240" w:lineRule="auto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3600" cy="3448050"/>
            <wp:effectExtent t="0" r="0" b="0" l="0"/>
            <wp:docPr id="1" name="context" descr="Рисунок 3 – Контекстная диаграмма процесса «Импортная закупка товара» (нотация IDEF0, диаграмма А-0)" title="Рисунок 3 – Контекстная диаграмма процесса «Импортная закупка товара» (нотация IDEF0, диаграмма А-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Контекстная диаграмма процесса «Импортная закупка товара» (нотация IDEF0, диаграмма А-0)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Граница проведена от решения о закупке до товара, который можно продавать. Только при такой границе модель охватывает всё время, в течение которого деньги компании уже потрачены (аванс, остаток, таможенные платежи), а товар ещё не приносит выручки. Если закончить процесс выпуском товара таможней, из анализа выпадут приёмка и оприходование, а начать с заключения контракта — выбор поставщика и согласования, где, как показано далее, теряется значительная часть времени.</w:t>
      </w:r>
    </w:p>
    <w:p>
      <w:pPr>
        <w:pStyle w:val="Heading1"/>
        <w:keepNext/>
        <w:spacing w:after="24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Методы исследования, инструменты и источники информации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Обследование сочетает изучение документов, опрос участников и анализ данных учётной системы. По отдельности каждый метод даёт неполную картину: регламенты описывают, как работа должна идти, интервью — как она идёт на деле, а данные 1С позволяют проверить слова цифрами. Методы и источники сведены в таблицу 4.</w:t>
      </w:r>
    </w:p>
    <w:p>
      <w:pPr>
        <w:keepNext/>
        <w:spacing w:after="80" w:before="200"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– Методы исследования, источники информации и инструменты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71"/>
        <w:gridCol w:w="2154"/>
        <w:gridCol w:w="3515"/>
        <w:gridCol w:w="1815"/>
      </w:tblGrid>
      <w:tr>
        <w:trPr>
          <w:cantSplit/>
          <w:tblHeader/>
        </w:trPr>
        <w:tc>
          <w:tcPr>
            <w:tcW w:type="dxa" w:w="1871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2154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даёт</w:t>
            </w:r>
          </w:p>
        </w:tc>
        <w:tc>
          <w:tcPr>
            <w:tcW w:type="dxa" w:w="3515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 информации, респонденты</w:t>
            </w:r>
          </w:p>
        </w:tc>
        <w:tc>
          <w:tcPr>
            <w:tcW w:type="dxa" w:w="1815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Инструмент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Анализ регламен­тирующих документов</w:t>
            </w:r>
          </w:p>
        </w:tc>
        <w:tc>
          <w:tcPr>
            <w:tcW w:type="dxa" w:w="21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Установленный порядок работы, права подписи, сроки</w:t>
            </w:r>
          </w:p>
        </w:tc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Положение об отделе закупок и ВЭД, должностные инструкции, приказ о порядке согласования, типовой контракт с поставщиком, договоры с экспедитором и таможенным представителем, учётная политика</w:t>
            </w:r>
          </w:p>
        </w:tc>
        <w:tc>
          <w:tcPr>
            <w:tcW w:type="dxa" w:w="18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Чек-лист анализа документов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Анализ нормативных правовых актов</w:t>
            </w:r>
          </w:p>
        </w:tc>
        <w:tc>
          <w:tcPr>
            <w:tcW w:type="dxa" w:w="21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Обязательные шаги процесса: валютный, таможенный и технический контроль</w:t>
            </w:r>
          </w:p>
        </w:tc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ТК ЕАЭС, 289-ФЗ, 173-ФЗ, Инструкция № 181-И, технические регламенты ЕАЭС</w:t>
            </w:r>
          </w:p>
        </w:tc>
        <w:tc>
          <w:tcPr>
            <w:tcW w:type="dxa" w:w="18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Справочная правовая система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Полуструк­турированное интервью</w:t>
            </w:r>
          </w:p>
        </w:tc>
        <w:tc>
          <w:tcPr>
            <w:tcW w:type="dxa" w:w="21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Фактическая последователь­ность работ, передачи, проблемы, мнения исполнителей</w:t>
            </w:r>
          </w:p>
        </w:tc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Коммерческий директор, руководитель и сотрудники отдела закупок и ВЭД, финансовый директор, бухгалтер, логист, начальник склада</w:t>
            </w:r>
          </w:p>
        </w:tc>
        <w:tc>
          <w:tcPr>
            <w:tcW w:type="dxa" w:w="18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План интервью (вопросы раздела 7), протокол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Анализ данных учётной системы</w:t>
            </w:r>
          </w:p>
        </w:tc>
        <w:tc>
          <w:tcPr>
            <w:tcW w:type="dxa" w:w="21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Фактические даты и длительности этапов, доля поставок с отклонениями</w:t>
            </w:r>
          </w:p>
        </w:tc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1С:УТ (заказы поставщикам, поступления, дополнительные расходы), реестр поставок, декларации на товары, акты расхождений за год</w:t>
            </w:r>
          </w:p>
        </w:tc>
        <w:tc>
          <w:tcPr>
            <w:tcW w:type="dxa" w:w="18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Выгрузка из 1С, MS Excel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Наблюдение и хронометраж</w:t>
            </w:r>
          </w:p>
        </w:tc>
        <w:tc>
          <w:tcPr>
            <w:tcW w:type="dxa" w:w="21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Трудозатраты операций, ожидания, повторные действия</w:t>
            </w:r>
          </w:p>
        </w:tc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Подготовка заказа и документов поставки, приёмка товара на складе</w:t>
            </w:r>
          </w:p>
        </w:tc>
        <w:tc>
          <w:tcPr>
            <w:tcW w:type="dxa" w:w="18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хронометража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Анкетирование</w:t>
            </w:r>
          </w:p>
        </w:tc>
        <w:tc>
          <w:tcPr>
            <w:tcW w:type="dxa" w:w="21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Оценка значимости проблем всеми участниками</w:t>
            </w:r>
          </w:p>
        </w:tc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Сотрудники подразделений — участников процесса</w:t>
            </w:r>
          </w:p>
        </w:tc>
        <w:tc>
          <w:tcPr>
            <w:tcW w:type="dxa" w:w="18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Онлайн-анкета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Моделирование и анализ моделей</w:t>
            </w:r>
          </w:p>
        </w:tc>
        <w:tc>
          <w:tcPr>
            <w:tcW w:type="dxa" w:w="21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Целостная картина процесса, узкие места, вариант улучшения</w:t>
            </w:r>
          </w:p>
        </w:tc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Результаты методов 1–6</w:t>
            </w:r>
          </w:p>
        </w:tc>
        <w:tc>
          <w:tcPr>
            <w:tcW w:type="dxa" w:w="18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ARIS Express (Organizational Chart, VAD, BPMN 2.0), MS Excel</w:t>
            </w:r>
          </w:p>
        </w:tc>
      </w:tr>
    </w:tbl>
    <w:p>
      <w:pPr>
        <w:spacing w:after="120" w:line="240" w:lineRule="auto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Причины проблем ищутся методом «пять почему» — последовательными вопросами до причины, которую можно устранить управленческим решением. Эффект изменений оценивается расчётом показателей по моделям AS IS и TO BE (раздел 12).</w:t>
      </w:r>
    </w:p>
    <w:p>
      <w:pPr>
        <w:pStyle w:val="Heading1"/>
        <w:keepNext/>
        <w:spacing w:after="24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Цель и задачи исследования и моделирования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Цель исследования</w:t>
      </w:r>
      <w:r>
        <w:rPr>
          <w:rFonts w:ascii="Times New Roman" w:cs="Times New Roman" w:eastAsia="Times New Roman" w:hAnsi="Times New Roman"/>
        </w:rPr>
        <w:t xml:space="preserve"> — сократить длительность и трудоёмкость процесса импортной закупки и снизить потери на стыках между подразделениями и с внешними участниками при соблюдении требований валютного, таможенного и технического регулирования.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Цель моделирования</w:t>
      </w:r>
      <w:r>
        <w:rPr>
          <w:rFonts w:ascii="Times New Roman" w:cs="Times New Roman" w:eastAsia="Times New Roman" w:hAnsi="Times New Roman"/>
        </w:rPr>
        <w:t xml:space="preserve"> — получить графическую модель процесса «как есть», на которой видны передачи работы, ожидания и повторные действия, и на её основе построить модель «как должно быть».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Для достижения целей решаются задачи:</w:t>
      </w:r>
    </w:p>
    <w:p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описать объект исследования, его организационную структуру и процессы верхнего уровня;</w:t>
      </w:r>
    </w:p>
    <w:p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определить границы процесса, его входы, выходы, владельца и участников;</w:t>
      </w:r>
    </w:p>
    <w:p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собрать сведения об этапах процесса: целях, результатах, исполнителях, ресурсах, информационных системах и показателях;</w:t>
      </w:r>
    </w:p>
    <w:p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построить модель процесса AS IS в нотации BPMN 2.0;</w:t>
      </w:r>
    </w:p>
    <w:p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выявить проблемы процесса и их корневые причины;</w:t>
      </w:r>
    </w:p>
    <w:p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разработать модель TO BE, устраняющую выявленные проблемы;</w:t>
      </w:r>
    </w:p>
    <w:p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определить показатели процесса и сравнить по ним модели AS IS и TO BE.</w:t>
      </w:r>
    </w:p>
    <w:p>
      <w:pPr>
        <w:pStyle w:val="Heading1"/>
        <w:keepNext/>
        <w:spacing w:after="24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Ключевые вопросы для обследования процесса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Вопросы сгруппированы по блокам и адресованы тем участникам, которые могут на них ответить (таблица 5). Они служат планом полуструктурированного интервью: формулировки можно уточнять по ходу беседы, но каждый блок должен быть пройден.</w:t>
      </w:r>
    </w:p>
    <w:p>
      <w:pPr>
        <w:keepNext/>
        <w:spacing w:after="80" w:before="200"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– Ключевые вопросы для обследования и моделирования процесса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14"/>
        <w:gridCol w:w="5272"/>
        <w:gridCol w:w="2269"/>
      </w:tblGrid>
      <w:tr>
        <w:trPr>
          <w:cantSplit/>
          <w:tblHeader/>
        </w:trPr>
        <w:tc>
          <w:tcPr>
            <w:tcW w:type="dxa" w:w="1814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Блок</w:t>
            </w:r>
          </w:p>
        </w:tc>
        <w:tc>
          <w:tcPr>
            <w:tcW w:type="dxa" w:w="5272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Вопросы</w:t>
            </w:r>
          </w:p>
        </w:tc>
        <w:tc>
          <w:tcPr>
            <w:tcW w:type="dxa" w:w="2269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Кому задаются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Цели и результаты</w:t>
            </w:r>
          </w:p>
        </w:tc>
        <w:tc>
          <w:tcPr>
            <w:tcW w:type="dxa" w:w="527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Что является результатом процесса и кто его получает?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 По каким признакам поставка считается выполненной хорошо?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 Какие показатели процесса сейчас считаются, кто и как часто их смотрит?</w:t>
            </w:r>
          </w:p>
        </w:tc>
        <w:tc>
          <w:tcPr>
            <w:tcW w:type="dxa" w:w="22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Коммерческий директор, руководитель отдела закупок и ВЭД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Границы и запуск</w:t>
            </w:r>
          </w:p>
        </w:tc>
        <w:tc>
          <w:tcPr>
            <w:tcW w:type="dxa" w:w="527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 Какое событие запускает закупку и кто утверждает потребность?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 В какой момент поставка считается завершённой?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6. Какие работы до и после процесса выполняют другие подразделения?</w:t>
            </w:r>
          </w:p>
        </w:tc>
        <w:tc>
          <w:tcPr>
            <w:tcW w:type="dxa" w:w="22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Руководитель отдела закупок и ВЭД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Последователь­ность и участники</w:t>
            </w:r>
          </w:p>
        </w:tc>
        <w:tc>
          <w:tcPr>
            <w:tcW w:type="dxa" w:w="527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7. Из каких этапов состоит поставка, кто выполняет и кто согласует каждый этап?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8. Где и как работа передаётся между подразделениями (письмо, служебная записка, 1С)?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9. Какие этапы выполняются последовательно, хотя могли бы идти параллельно?</w:t>
            </w:r>
          </w:p>
        </w:tc>
        <w:tc>
          <w:tcPr>
            <w:tcW w:type="dxa" w:w="22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участники процесса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Документы и информа­ционные системы</w:t>
            </w:r>
          </w:p>
        </w:tc>
        <w:tc>
          <w:tcPr>
            <w:tcW w:type="dxa" w:w="527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10. Какие документы оформляются на каждом этапе и где хранятся?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11. Какие данные вводятся повторно (Excel, 1С, письма)?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12. Как ведётся переписка с поставщиком и сохраняется ли её история?</w:t>
            </w:r>
          </w:p>
        </w:tc>
        <w:tc>
          <w:tcPr>
            <w:tcW w:type="dxa" w:w="22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Менеджеры по закупкам, специалист по ВЭД, бухгалтер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и ресурсы</w:t>
            </w:r>
          </w:p>
        </w:tc>
        <w:tc>
          <w:tcPr>
            <w:tcW w:type="dxa" w:w="527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13. Сколько длится каждый этап и где возникают ожидания?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14. Сколько рабочего времени уходит на одну поставку?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15. Какие дополнительные расходы возникают (хранение на СВХ, комиссии банков, штрафы)?</w:t>
            </w:r>
          </w:p>
        </w:tc>
        <w:tc>
          <w:tcPr>
            <w:tcW w:type="dxa" w:w="22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участники, финансовый директор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Внешняя среда</w:t>
            </w:r>
          </w:p>
        </w:tc>
        <w:tc>
          <w:tcPr>
            <w:tcW w:type="dxa" w:w="527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16. Как контракт ставится на учёт в банке и сколько дней идут платежи в КНР?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17. Как выбираются экспедитор и таможенный представитель, каковы их сроки?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18. Когда и кем определяется, нужны ли на товар декларации соответствия?</w:t>
            </w:r>
          </w:p>
        </w:tc>
        <w:tc>
          <w:tcPr>
            <w:tcW w:type="dxa" w:w="22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Финансовый директор, специалист по ВЭД, специалист по сертификации, логист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Проблемы и отклонения</w:t>
            </w:r>
          </w:p>
        </w:tc>
        <w:tc>
          <w:tcPr>
            <w:tcW w:type="dxa" w:w="527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19. Сколько поставок за год потребовали исправления документов или корректировки декларации на товары?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20. Как часто груз задерживался на СВХ и по каким причинам?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21. Как часто при приёмке находят расхождения и через сколько дней направляется претензия?</w:t>
            </w:r>
          </w:p>
        </w:tc>
        <w:tc>
          <w:tcPr>
            <w:tcW w:type="dxa" w:w="22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Специалист по ВЭД, начальник склада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Предложения по улучшению</w:t>
            </w:r>
          </w:p>
        </w:tc>
        <w:tc>
          <w:tcPr>
            <w:tcW w:type="dxa" w:w="527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 Что вы изменили бы в процессе в первую очередь?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23. Какие решения уже пробовали и почему они не прижились?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24. Какие возможности 1С не используются?</w:t>
            </w:r>
          </w:p>
        </w:tc>
        <w:tc>
          <w:tcPr>
            <w:tcW w:type="dxa" w:w="22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участники, ИТ-служба</w:t>
            </w:r>
          </w:p>
        </w:tc>
      </w:tr>
    </w:tbl>
    <w:p>
      <w:pPr>
        <w:spacing w:after="120" w:line="240" w:lineRule="auto"/>
      </w:pPr>
    </w:p>
    <w:p>
      <w:pPr>
        <w:pStyle w:val="Heading1"/>
        <w:keepNext/>
        <w:spacing w:after="24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Исследование бизнес-процесса: декомпозиция, участники, окружение, показатели</w:t>
      </w:r>
    </w:p>
    <w:p>
      <w:pPr>
        <w:pStyle w:val="Heading2"/>
        <w:keepNext/>
        <w:spacing w:after="120" w:before="24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8.1. Декомпозиция процесса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Процесс разделён на десять этапов второго уровня (рисунок 4). Этапы 5 и 7 выполняют внешние участники — поставщик и экспедитор; компания только контролирует их сроки. Цели, результаты, исполнители, ресурсы и показатели этапов приведены в таблице 6.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3600" cy="2228850"/>
            <wp:effectExtent t="0" r="0" b="0" l="0"/>
            <wp:docPr id="1" name="decomp" descr="Рисунок 4 – Декомпозиция процесса О2 «Импортная закупка товара» (ARIS VAD, второй уровень)" title="Рисунок 4 – Декомпозиция процесса О2 «Импортная закупка товара» (ARIS VAD, второй уровень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Декомпозиция процесса О2 «Импортная закупка товара» (ARIS VAD, второй уровень)</w:t>
      </w:r>
    </w:p>
    <w:p>
      <w:pPr>
        <w:keepNext/>
        <w:spacing w:after="80" w:before="200"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 – Этапы процесса: цели, результаты, исполнители, ресурсы и показатели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53"/>
        <w:gridCol w:w="2154"/>
        <w:gridCol w:w="1700"/>
        <w:gridCol w:w="1757"/>
        <w:gridCol w:w="1587"/>
        <w:gridCol w:w="1704"/>
      </w:tblGrid>
      <w:tr>
        <w:trPr>
          <w:cantSplit/>
          <w:tblHeader/>
        </w:trPr>
        <w:tc>
          <w:tcPr>
            <w:tcW w:type="dxa" w:w="453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2154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Этап и его цель</w:t>
            </w:r>
          </w:p>
        </w:tc>
        <w:tc>
          <w:tcPr>
            <w:tcW w:type="dxa" w:w="1700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 (выход)</w:t>
            </w:r>
          </w:p>
        </w:tc>
        <w:tc>
          <w:tcPr>
            <w:tcW w:type="dxa" w:w="1757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Исполнители</w:t>
            </w:r>
          </w:p>
        </w:tc>
        <w:tc>
          <w:tcPr>
            <w:tcW w:type="dxa" w:w="1587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Ресурсы, ИТ</w:t>
            </w:r>
          </w:p>
        </w:tc>
        <w:tc>
          <w:tcPr>
            <w:tcW w:type="dxa" w:w="1704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Показатель</w:t>
            </w:r>
          </w:p>
        </w:tc>
      </w:tr>
      <w:tr>
        <w:trPr>
          <w:cantSplit/>
          <w:tblHeader w:val="false"/>
        </w:trPr>
        <w:tc>
          <w:tcPr>
            <w:tcW w:type="dxa" w:w="4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1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Формирование заказа поставщику.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Определить, что, сколько и у кого закупить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Заказ поставщику: позиции, количества, сроки</w:t>
            </w:r>
          </w:p>
        </w:tc>
        <w:tc>
          <w:tcPr>
            <w:tcW w:type="dxa" w:w="175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Менеджер по закупкам; утверждает руководитель отдела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1С:УТ (остатки, продажи), Excel</w:t>
            </w:r>
          </w:p>
        </w:tc>
        <w:tc>
          <w:tcPr>
            <w:tcW w:type="dxa" w:w="170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Длительность этапа; доля дефицитных позиций</w:t>
            </w:r>
          </w:p>
        </w:tc>
      </w:tr>
      <w:tr>
        <w:trPr>
          <w:cantSplit/>
          <w:tblHeader w:val="false"/>
        </w:trPr>
        <w:tc>
          <w:tcPr>
            <w:tcW w:type="dxa" w:w="4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1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Выбор поставщика и согласование условий.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Получить лучшие цену и сроки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Выбранный поставщик; цена, срок, условия оплаты</w:t>
            </w:r>
          </w:p>
        </w:tc>
        <w:tc>
          <w:tcPr>
            <w:tcW w:type="dxa" w:w="175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Менеджер по закупкам; коммерческий директор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Почта, WeChat, Excel</w:t>
            </w:r>
          </w:p>
        </w:tc>
        <w:tc>
          <w:tcPr>
            <w:tcW w:type="dxa" w:w="170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Длительность; отклонение цены от плановой</w:t>
            </w:r>
          </w:p>
        </w:tc>
      </w:tr>
      <w:tr>
        <w:trPr>
          <w:cantSplit/>
          <w:tblHeader w:val="false"/>
        </w:trPr>
        <w:tc>
          <w:tcPr>
            <w:tcW w:type="dxa" w:w="4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1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Заключение контракта, валютный контроль.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Закрепить поставку договором и выполнить требования валютного контроля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Подписанный контракт и спецификация; контракт поставлен на учёт в банке</w:t>
            </w:r>
          </w:p>
        </w:tc>
        <w:tc>
          <w:tcPr>
            <w:tcW w:type="dxa" w:w="175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Менеджер по закупкам, коммерческий директор, финансовая служба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Шаблон контракта, «Клиент — Банк»</w:t>
            </w:r>
          </w:p>
        </w:tc>
        <w:tc>
          <w:tcPr>
            <w:tcW w:type="dxa" w:w="170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Длительность; число циклов правок</w:t>
            </w:r>
          </w:p>
        </w:tc>
      </w:tr>
      <w:tr>
        <w:trPr>
          <w:cantSplit/>
          <w:tblHeader w:val="false"/>
        </w:trPr>
        <w:tc>
          <w:tcPr>
            <w:tcW w:type="dxa" w:w="4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1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Оплата аванса.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Запустить производство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Аванс 30 % перечислен поставщику</w:t>
            </w:r>
          </w:p>
        </w:tc>
        <w:tc>
          <w:tcPr>
            <w:tcW w:type="dxa" w:w="175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Финансовая служба по служебной записке отдела закупок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«Клиент — Банк»</w:t>
            </w:r>
          </w:p>
        </w:tc>
        <w:tc>
          <w:tcPr>
            <w:tcW w:type="dxa" w:w="170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Срок от заявки до зачисления платежа</w:t>
            </w:r>
          </w:p>
        </w:tc>
      </w:tr>
      <w:tr>
        <w:trPr>
          <w:cantSplit/>
          <w:tblHeader w:val="false"/>
        </w:trPr>
        <w:tc>
          <w:tcPr>
            <w:tcW w:type="dxa" w:w="4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1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Производство у поставщика.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Изготовить товар в срок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Товар готов, уведомление поставщика</w:t>
            </w:r>
          </w:p>
        </w:tc>
        <w:tc>
          <w:tcPr>
            <w:tcW w:type="dxa" w:w="175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Поставщик; контроль — менеджер по закупкам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Переписка с постав­щиком</w:t>
            </w:r>
          </w:p>
        </w:tc>
        <w:tc>
          <w:tcPr>
            <w:tcW w:type="dxa" w:w="170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Соблюдение срока готовности</w:t>
            </w:r>
          </w:p>
        </w:tc>
      </w:tr>
      <w:tr>
        <w:trPr>
          <w:cantSplit/>
          <w:tblHeader w:val="false"/>
        </w:trPr>
        <w:tc>
          <w:tcPr>
            <w:tcW w:type="dxa" w:w="4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1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Оплата остатка и отгрузка.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Передать товар перевозчику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Остаток оплачен, контейнер забронирован, товар отгружен; инвойс, упаковочный лист, коносамент</w:t>
            </w:r>
          </w:p>
        </w:tc>
        <w:tc>
          <w:tcPr>
            <w:tcW w:type="dxa" w:w="175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Финансовая служба, отдел логистики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«Клиент — Банк», почта</w:t>
            </w:r>
          </w:p>
        </w:tc>
        <w:tc>
          <w:tcPr>
            <w:tcW w:type="dxa" w:w="170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Срок от готовности до отгрузки</w:t>
            </w:r>
          </w:p>
        </w:tc>
      </w:tr>
      <w:tr>
        <w:trPr>
          <w:cantSplit/>
          <w:tblHeader w:val="false"/>
        </w:trPr>
        <w:tc>
          <w:tcPr>
            <w:tcW w:type="dxa" w:w="4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1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Международная перевозка.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Доставить груз в порт Санкт-Петербург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Груз прибыл, размещён на СВХ</w:t>
            </w:r>
          </w:p>
        </w:tc>
        <w:tc>
          <w:tcPr>
            <w:tcW w:type="dxa" w:w="175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Экспедитор; контроль — логист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Почта, телефон</w:t>
            </w:r>
          </w:p>
        </w:tc>
        <w:tc>
          <w:tcPr>
            <w:tcW w:type="dxa" w:w="170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Срок в пути; число запросов статуса</w:t>
            </w:r>
          </w:p>
        </w:tc>
      </w:tr>
      <w:tr>
        <w:trPr>
          <w:cantSplit/>
          <w:tblHeader w:val="false"/>
        </w:trPr>
        <w:tc>
          <w:tcPr>
            <w:tcW w:type="dxa" w:w="4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1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Таможенное оформление, подтверждение соответствия.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Выпустить товар для внутреннего потребления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Товар выпущен; декларация на товары, декларации соответствия</w:t>
            </w:r>
          </w:p>
        </w:tc>
        <w:tc>
          <w:tcPr>
            <w:tcW w:type="dxa" w:w="175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Специалист по ВЭД, специалист по сертификации, таможенный представитель, финансовая служба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Личный кабинет таможенного представи­теля, почта</w:t>
            </w:r>
          </w:p>
        </w:tc>
        <w:tc>
          <w:tcPr>
            <w:tcW w:type="dxa" w:w="170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Время от прибытия до выпуска; доля поставок с исправлениями</w:t>
            </w:r>
          </w:p>
        </w:tc>
      </w:tr>
      <w:tr>
        <w:trPr>
          <w:cantSplit/>
          <w:tblHeader w:val="false"/>
        </w:trPr>
        <w:tc>
          <w:tcPr>
            <w:tcW w:type="dxa" w:w="4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21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Доставка на склад и приёмка.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Получить товар в полном количестве и надлежащего качества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Товар на складе; акт расхождений (при наличии)</w:t>
            </w:r>
          </w:p>
        </w:tc>
        <w:tc>
          <w:tcPr>
            <w:tcW w:type="dxa" w:w="175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Логист, кладовщики; отдел закупок — при расхождениях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Авто­транспорт, бумажный упако­вочный лист</w:t>
            </w:r>
          </w:p>
        </w:tc>
        <w:tc>
          <w:tcPr>
            <w:tcW w:type="dxa" w:w="170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Длительность приёмки; доля поставок с расхождениями</w:t>
            </w:r>
          </w:p>
        </w:tc>
      </w:tr>
      <w:tr>
        <w:trPr>
          <w:cantSplit/>
          <w:tblHeader w:val="false"/>
        </w:trPr>
        <w:tc>
          <w:tcPr>
            <w:tcW w:type="dxa" w:w="4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21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Оприходование и расчёт себестоимости.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Сделать товар доступным к продаже по верной себестоимости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Поступление в 1С; себестоимость партии</w:t>
            </w:r>
          </w:p>
        </w:tc>
        <w:tc>
          <w:tcPr>
            <w:tcW w:type="dxa" w:w="175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Бухгалтерия, финансово-экономический отдел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1С:УТ, Excel</w:t>
            </w:r>
          </w:p>
        </w:tc>
        <w:tc>
          <w:tcPr>
            <w:tcW w:type="dxa" w:w="170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Срок от приёмки до доступности к продаже</w:t>
            </w:r>
          </w:p>
        </w:tc>
      </w:tr>
    </w:tbl>
    <w:p>
      <w:pPr>
        <w:spacing w:after="120" w:line="240" w:lineRule="auto"/>
      </w:pPr>
    </w:p>
    <w:p>
      <w:pPr>
        <w:pStyle w:val="Heading2"/>
        <w:keepNext/>
        <w:spacing w:after="120" w:before="24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8.2. Участники процесса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Распределение ответственности по этапам показано матрицей RACI (таблица 7): R — исполняет, A — отвечает за результат и утверждает (один на этап), C — консультирует, I — получает информацию.</w:t>
      </w:r>
    </w:p>
    <w:p>
      <w:pPr>
        <w:keepNext/>
        <w:spacing w:after="80" w:before="200"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 – Матрица ответственности участников процесса (RACI)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14"/>
        <w:gridCol w:w="1133"/>
        <w:gridCol w:w="1077"/>
        <w:gridCol w:w="1077"/>
        <w:gridCol w:w="1020"/>
        <w:gridCol w:w="850"/>
        <w:gridCol w:w="2384"/>
      </w:tblGrid>
      <w:tr>
        <w:trPr>
          <w:cantSplit/>
          <w:tblHeader/>
        </w:trPr>
        <w:tc>
          <w:tcPr>
            <w:tcW w:type="dxa" w:w="1814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Этап</w:t>
            </w:r>
          </w:p>
        </w:tc>
        <w:tc>
          <w:tcPr>
            <w:tcW w:type="dxa" w:w="1133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Коммерч. дирек­тор</w:t>
            </w:r>
          </w:p>
        </w:tc>
        <w:tc>
          <w:tcPr>
            <w:tcW w:type="dxa" w:w="1077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Отдел закупок и ВЭД</w:t>
            </w:r>
          </w:p>
        </w:tc>
        <w:tc>
          <w:tcPr>
            <w:tcW w:type="dxa" w:w="1077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Финан­совая служба</w:t>
            </w:r>
          </w:p>
        </w:tc>
        <w:tc>
          <w:tcPr>
            <w:tcW w:type="dxa" w:w="1020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Отдел логис­тики</w:t>
            </w:r>
          </w:p>
        </w:tc>
        <w:tc>
          <w:tcPr>
            <w:tcW w:type="dxa" w:w="850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Склад</w:t>
            </w:r>
          </w:p>
        </w:tc>
        <w:tc>
          <w:tcPr>
            <w:tcW w:type="dxa" w:w="2384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Внешние участники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Формирование заказа</w:t>
            </w:r>
          </w:p>
        </w:tc>
        <w:tc>
          <w:tcPr>
            <w:tcW w:type="dxa" w:w="113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A, R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W w:type="dxa" w:w="10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8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 Выбор поставщика</w:t>
            </w:r>
          </w:p>
        </w:tc>
        <w:tc>
          <w:tcPr>
            <w:tcW w:type="dxa" w:w="113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10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8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Поставщик — C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 Контракт, валютный контроль</w:t>
            </w:r>
          </w:p>
        </w:tc>
        <w:tc>
          <w:tcPr>
            <w:tcW w:type="dxa" w:w="113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A, R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0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8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Поставщик — C; банк — R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 Оплата аванса</w:t>
            </w:r>
          </w:p>
        </w:tc>
        <w:tc>
          <w:tcPr>
            <w:tcW w:type="dxa" w:w="113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A, R</w:t>
            </w:r>
          </w:p>
        </w:tc>
        <w:tc>
          <w:tcPr>
            <w:tcW w:type="dxa" w:w="10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8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 — R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 Производство</w:t>
            </w:r>
          </w:p>
        </w:tc>
        <w:tc>
          <w:tcPr>
            <w:tcW w:type="dxa" w:w="113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W w:type="dxa" w:w="10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8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Поставщик — R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6. Оплата остатка, отгрузка</w:t>
            </w:r>
          </w:p>
        </w:tc>
        <w:tc>
          <w:tcPr>
            <w:tcW w:type="dxa" w:w="113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0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8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Поставщик, банк, экспедитор — R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7. Перевозка</w:t>
            </w:r>
          </w:p>
        </w:tc>
        <w:tc>
          <w:tcPr>
            <w:tcW w:type="dxa" w:w="113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0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W w:type="dxa" w:w="238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Экспедитор — R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8. Таможенное оформление</w:t>
            </w:r>
          </w:p>
        </w:tc>
        <w:tc>
          <w:tcPr>
            <w:tcW w:type="dxa" w:w="113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A, R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0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8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Таможенный представитель, орган по сертификации — R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9. Доставка и приёмка</w:t>
            </w:r>
          </w:p>
        </w:tc>
        <w:tc>
          <w:tcPr>
            <w:tcW w:type="dxa" w:w="113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W w:type="dxa" w:w="10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A, R</w:t>
            </w:r>
          </w:p>
        </w:tc>
        <w:tc>
          <w:tcPr>
            <w:tcW w:type="dxa" w:w="238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Перевозчик — R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10. Оприходование</w:t>
            </w:r>
          </w:p>
        </w:tc>
        <w:tc>
          <w:tcPr>
            <w:tcW w:type="dxa" w:w="113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A, R</w:t>
            </w:r>
          </w:p>
        </w:tc>
        <w:tc>
          <w:tcPr>
            <w:tcW w:type="dxa" w:w="10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238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 w:line="240" w:lineRule="auto"/>
      </w:pPr>
    </w:p>
    <w:p>
      <w:pPr>
        <w:pStyle w:val="Heading2"/>
        <w:keepNext/>
        <w:spacing w:after="120" w:before="24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8.3. Окружение процесса</w:t>
      </w:r>
    </w:p>
    <w:p>
      <w:pPr>
        <w:keepNext/>
        <w:spacing w:after="80" w:before="200"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8 – Окружение процесса: ресурсы, информационные системы, внешняя среда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551"/>
        <w:gridCol w:w="6804"/>
      </w:tblGrid>
      <w:tr>
        <w:trPr>
          <w:cantSplit/>
          <w:tblHeader/>
        </w:trPr>
        <w:tc>
          <w:tcPr>
            <w:tcW w:type="dxa" w:w="2551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Элемент окружения</w:t>
            </w:r>
          </w:p>
        </w:tc>
        <w:tc>
          <w:tcPr>
            <w:tcW w:type="dxa" w:w="6804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Содержание</w:t>
            </w:r>
          </w:p>
        </w:tc>
      </w:tr>
      <w:tr>
        <w:trPr>
          <w:cantSplit/>
          <w:tblHeader w:val="false"/>
        </w:trPr>
        <w:tc>
          <w:tcPr>
            <w:tcW w:type="dxa" w:w="25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Персонал</w:t>
            </w:r>
          </w:p>
        </w:tc>
        <w:tc>
          <w:tcPr>
            <w:tcW w:type="dxa" w:w="680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 закупок и ВЭД — 5 чел.; участвуют также коммерческий директор, бухгалтерия, финансово-экономический отдел, транспортный отдел, склад</w:t>
            </w:r>
          </w:p>
        </w:tc>
      </w:tr>
      <w:tr>
        <w:trPr>
          <w:cantSplit/>
          <w:tblHeader w:val="false"/>
        </w:trPr>
        <w:tc>
          <w:tcPr>
            <w:tcW w:type="dxa" w:w="25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Информационные системы</w:t>
            </w:r>
          </w:p>
        </w:tc>
        <w:tc>
          <w:tcPr>
            <w:tcW w:type="dxa" w:w="680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1С:УТ 11 — остатки, заказы поставщикам, поступления; 1С:Бухгалтерия; MS Excel — план закупок, сравнение предложений, реестр поставок, себестоимость партии; корпоративная почта; WeChat; «Клиент — Банк»; личный кабинет таможенного представителя</w:t>
            </w:r>
          </w:p>
        </w:tc>
      </w:tr>
      <w:tr>
        <w:trPr>
          <w:cantSplit/>
          <w:tblHeader w:val="false"/>
        </w:trPr>
        <w:tc>
          <w:tcPr>
            <w:tcW w:type="dxa" w:w="25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Финансовые ресурсы</w:t>
            </w:r>
          </w:p>
        </w:tc>
        <w:tc>
          <w:tcPr>
            <w:tcW w:type="dxa" w:w="680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Оборотные средства на аванс и оплату поставки, таможенные платежи, услуги экспедитора и таможенного представителя</w:t>
            </w:r>
          </w:p>
        </w:tc>
      </w:tr>
      <w:tr>
        <w:trPr>
          <w:cantSplit/>
          <w:tblHeader w:val="false"/>
        </w:trPr>
        <w:tc>
          <w:tcPr>
            <w:tcW w:type="dxa" w:w="25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Инфраструктура</w:t>
            </w:r>
          </w:p>
        </w:tc>
        <w:tc>
          <w:tcPr>
            <w:tcW w:type="dxa" w:w="680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Склад около 2 500 м² с погрузочной техникой; терминалов сбора данных (сканеров штрихкодов) нет</w:t>
            </w:r>
          </w:p>
        </w:tc>
      </w:tr>
      <w:tr>
        <w:trPr>
          <w:cantSplit/>
          <w:tblHeader w:val="false"/>
        </w:trPr>
        <w:tc>
          <w:tcPr>
            <w:tcW w:type="dxa" w:w="25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Документы</w:t>
            </w:r>
          </w:p>
        </w:tc>
        <w:tc>
          <w:tcPr>
            <w:tcW w:type="dxa" w:w="680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Контракт и спецификация, проформа-инвойс (PI), инвойс, упаковочный лист, коносамент, декларация на товары, декларации соответствия, ведомость банковского контроля, акт расхождений</w:t>
            </w:r>
          </w:p>
        </w:tc>
      </w:tr>
      <w:tr>
        <w:trPr>
          <w:cantSplit/>
          <w:tblHeader w:val="false"/>
        </w:trPr>
        <w:tc>
          <w:tcPr>
            <w:tcW w:type="dxa" w:w="25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Внешние участники</w:t>
            </w:r>
          </w:p>
        </w:tc>
        <w:tc>
          <w:tcPr>
            <w:tcW w:type="dxa" w:w="680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Поставщики (КНР), уполномоченный банк, экспедитор, таможенный представитель, таможенный орган, орган по сертификации</w:t>
            </w:r>
          </w:p>
        </w:tc>
      </w:tr>
      <w:tr>
        <w:trPr>
          <w:cantSplit/>
          <w:tblHeader w:val="false"/>
        </w:trPr>
        <w:tc>
          <w:tcPr>
            <w:tcW w:type="dxa" w:w="25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Нормативная среда</w:t>
            </w:r>
          </w:p>
        </w:tc>
        <w:tc>
          <w:tcPr>
            <w:tcW w:type="dxa" w:w="680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ТК ЕАЭС, 289-ФЗ, 173-ФЗ, Инструкция Банка России № 181-И, технические регламенты ЕАЭС, Инкотермс 2020</w:t>
            </w:r>
          </w:p>
        </w:tc>
      </w:tr>
      <w:tr>
        <w:trPr>
          <w:cantSplit/>
          <w:tblHeader w:val="false"/>
        </w:trPr>
        <w:tc>
          <w:tcPr>
            <w:tcW w:type="dxa" w:w="25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Внешние факторы</w:t>
            </w:r>
          </w:p>
        </w:tc>
        <w:tc>
          <w:tcPr>
            <w:tcW w:type="dxa" w:w="680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Сроки и стоимость платежей в КНР, курс юаня, сроки морской перевозки, загрузка порта</w:t>
            </w:r>
          </w:p>
        </w:tc>
      </w:tr>
    </w:tbl>
    <w:p>
      <w:pPr>
        <w:spacing w:after="120" w:line="240" w:lineRule="auto"/>
      </w:pPr>
    </w:p>
    <w:p>
      <w:pPr>
        <w:pStyle w:val="Heading2"/>
        <w:keepNext/>
        <w:spacing w:after="120" w:before="24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8.4. Показатели процесса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Показатели процесса и их значения в текущем состоянии приведены в таблице 9. Длительности этапов — допущения модели; при обследовании конкретной компании они заменяются фактическими данными из 1С и реестра поставок.</w:t>
      </w:r>
    </w:p>
    <w:p>
      <w:pPr>
        <w:keepNext/>
        <w:spacing w:after="80" w:before="200"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9 – Показатели (метрики) процесса в текущем состоянии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515"/>
        <w:gridCol w:w="4138"/>
        <w:gridCol w:w="1702"/>
      </w:tblGrid>
      <w:tr>
        <w:trPr>
          <w:cantSplit/>
          <w:tblHeader/>
        </w:trPr>
        <w:tc>
          <w:tcPr>
            <w:tcW w:type="dxa" w:w="3515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4138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Способ расчёта</w:t>
            </w:r>
          </w:p>
        </w:tc>
        <w:tc>
          <w:tcPr>
            <w:tcW w:type="dxa" w:w="1702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 AS IS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Длительность цикла, дн.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утверждения плана закупок до доступности товара к продаже</w:t>
            </w:r>
          </w:p>
        </w:tc>
        <w:tc>
          <w:tcPr>
            <w:tcW w:type="dxa" w:w="17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136,4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Управляемая часть цикла, дн.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Цикл без производства и перевозки (этапы 5 и 7)</w:t>
            </w:r>
          </w:p>
        </w:tc>
        <w:tc>
          <w:tcPr>
            <w:tcW w:type="dxa" w:w="17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61,4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Время от прибытия до выпуска, дн.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Этап 8: дата выпуска − дата прибытия</w:t>
            </w:r>
          </w:p>
        </w:tc>
        <w:tc>
          <w:tcPr>
            <w:tcW w:type="dxa" w:w="17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10,8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Время от готовности до отгрузки, дн.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Этап 6: дата отгрузки − дата уведомления о готовности</w:t>
            </w:r>
          </w:p>
        </w:tc>
        <w:tc>
          <w:tcPr>
            <w:tcW w:type="dxa" w:w="17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Доля поставок с исправлением документов после прибытия, %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поставок с исправлениями / число поставок</w:t>
            </w:r>
          </w:p>
        </w:tc>
        <w:tc>
          <w:tcPr>
            <w:tcW w:type="dxa" w:w="17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Доля поставок, задержанных из-за декларации соответствия, %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таких поставок / число поставок</w:t>
            </w:r>
          </w:p>
        </w:tc>
        <w:tc>
          <w:tcPr>
            <w:tcW w:type="dxa" w:w="17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Доля поставок с расхождениями при приёмке, %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актов расхождений / число поставок</w:t>
            </w:r>
          </w:p>
        </w:tc>
        <w:tc>
          <w:tcPr>
            <w:tcW w:type="dxa" w:w="17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Срок направления претензии, дн.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претензии − дата приёмки</w:t>
            </w:r>
          </w:p>
        </w:tc>
        <w:tc>
          <w:tcPr>
            <w:tcW w:type="dxa" w:w="17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≈7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Трудозатраты на одну поставку, чел.-ч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Сумма времени всех исполнителей по этапам (раздел 12, таблица 13)</w:t>
            </w:r>
          </w:p>
        </w:tc>
        <w:tc>
          <w:tcPr>
            <w:tcW w:type="dxa" w:w="17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82,6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Ручные согласования и служебные записки на поставку, шт.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Подсчёт по модели AS IS</w:t>
            </w:r>
          </w:p>
        </w:tc>
        <w:tc>
          <w:tcPr>
            <w:tcW w:type="dxa" w:w="17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</w:tr>
    </w:tbl>
    <w:p>
      <w:pPr>
        <w:spacing w:after="120" w:line="240" w:lineRule="auto"/>
      </w:pPr>
    </w:p>
    <w:p>
      <w:pPr>
        <w:pStyle w:val="Heading1"/>
        <w:keepNext/>
        <w:spacing w:after="24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Графическая модель процесса «AS IS» («как есть»)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Модель «как есть» построена в нотации BPMN 2.0 (рисунки 6–9, обозначения — на рисунке 5). Процесс показан пулом «ООО «НеваИмпорт»» с дорожками подразделений; внешние участники — свёрнутыми пулами, обмен с ними — потоками сообщений. Для читаемости схема разделена на четыре части, связанные событиями-ссылками А, Б и В. У задач указаны длительности (допущения модели) и номера проблем из раздела 10.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Часть 1 — заказ и контракт (рисунок 6).</w:t>
      </w:r>
      <w:r>
        <w:rPr>
          <w:rFonts w:ascii="Times New Roman" w:cs="Times New Roman" w:eastAsia="Times New Roman" w:hAnsi="Times New Roman"/>
        </w:rPr>
        <w:t xml:space="preserve"> Процесс запускается утверждением месячного плана закупок. Менеджер по закупкам сверяет остатки в 1С с планом и вручную собирает заказ в Excel, рассылает запросы цен поставщикам по почте и в WeChat, сравнивает коммерческие предложения и готовит служебную записку. Коммерческий директор согласует выбор; примерно в 30 % случаев записка возвращается на доработку. На каждую поставку готовится отдельный контракт со спецификацией, который согласуется с поставщиком и подписывается коммерческим директором.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Часть 2 — оплата, производство, отгрузка (рисунок 7).</w:t>
      </w:r>
      <w:r>
        <w:rPr>
          <w:rFonts w:ascii="Times New Roman" w:cs="Times New Roman" w:eastAsia="Times New Roman" w:hAnsi="Times New Roman"/>
        </w:rPr>
        <w:t xml:space="preserve"> По служебной записке отдела закупок финансовая служба ставит новый контракт на учёт в банке и оплачивает аванс 30 %; платёж в КНР проходит до 10 дней. После уведомления о готовности товара параллельно идут две ветви: оплата остатка 70 % (снова по служебной записке) и бронирование контейнера отделом логистики. Отгрузка возможна только после завершения обеих ветвей.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Часть 3 — перевозка и таможенное оформление (рисунок 8).</w:t>
      </w:r>
      <w:r>
        <w:rPr>
          <w:rFonts w:ascii="Times New Roman" w:cs="Times New Roman" w:eastAsia="Times New Roman" w:hAnsi="Times New Roman"/>
        </w:rPr>
        <w:t xml:space="preserve"> Во время перевозки логист узнаёт статус груза звонками и письмами экспедитору. После прибытия груз размещается на складе временного хранения (СВХ), и только тогда документы передаются таможенному представителю. Примерно в 40 % поставок он находит ошибки в инвойсе или упаковочном листе, и исправленные документы приходится ждать от поставщика; в 30 % поставок выясняется, что на новые позиции нет декларации соответствия, и её оформление занимает около двух недель. Всё это время груз стоит на СВХ.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Часть 4 — склад и оприходование (рисунок 9).</w:t>
      </w:r>
      <w:r>
        <w:rPr>
          <w:rFonts w:ascii="Times New Roman" w:cs="Times New Roman" w:eastAsia="Times New Roman" w:hAnsi="Times New Roman"/>
        </w:rPr>
        <w:t xml:space="preserve"> После выпуска товара логист заказывает машину и вывозит контейнер на склад. Кладовщики пересчитывают товар вручную и сверяют с бумажным упаковочным листом; при расхождениях отдел закупок составляет акт и претензию, на что уходит около недели. Бухгалтерия оприходует товар только после получения декларации на товары и счетов за услуги, а себестоимость партии с распределением расходов на перевозку и таможенное оформление считается в Excel.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Итог модели AS IS: полный цикл — 136,4 дня, из них 75 дней — производство и перевозка, на которые компания не влияет, и 61,4 дня — собственные операции, согласования и ожидания компании.</w:t>
      </w:r>
    </w:p>
    <w:p>
      <w:pPr>
        <w:sectPr>
          <w:footerReference w:type="default" r:id="rId7"/>
          <w:pgSz w:w="11906" w:h="16838" w:orient="portrait"/>
          <w:pgMar w:top="1134" w:right="850" w:bottom="1134" w:left="1701" w:header="567" w:footer="567" w:gutter="0"/>
          <w:pgNumType/>
          <w:titlePg/>
          <w:docGrid w:linePitch="360"/>
        </w:sectPr>
      </w:pP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9429750" cy="1400175"/>
            <wp:effectExtent t="0" r="0" b="0" l="0"/>
            <wp:docPr id="1" name="legend" descr="Рисунок 5 – Условные обозначения на моделях BPMN 2.0" title="Рисунок 5 – Условные обозначения на моделях BPMN 2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– Условные обозначения на моделях BPMN 2.0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9429750" cy="2486025"/>
            <wp:effectExtent t="0" r="0" b="0" l="0"/>
            <wp:docPr id="1" name="asis1" descr="Рисунок 6 – Модель AS IS, часть 1: формирование заказа и заключение контракта" title="Рисунок 6 – Модель AS IS, часть 1: формирование заказа и заключение контра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6 – Модель AS IS, часть 1: формирование заказа и заключение контракта</w:t>
      </w:r>
    </w:p>
    <w:p>
      <w:pPr>
        <w:pageBreakBefore/>
        <w:spacing w:line="240" w:lineRule="auto"/>
      </w:pP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9429750" cy="3781425"/>
            <wp:effectExtent t="0" r="0" b="0" l="0"/>
            <wp:docPr id="1" name="asis2" descr="Рисунок 7 – Модель AS IS, часть 2: оплата, производство и отгрузка" title="Рисунок 7 – Модель AS IS, часть 2: оплата, производство и отгруз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7 – Модель AS IS, часть 2: оплата, производство и отгрузка</w:t>
      </w:r>
    </w:p>
    <w:p>
      <w:pPr>
        <w:pageBreakBefore/>
        <w:spacing w:line="240" w:lineRule="auto"/>
      </w:pP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9429750" cy="4371975"/>
            <wp:effectExtent t="0" r="0" b="0" l="0"/>
            <wp:docPr id="1" name="asis3" descr="Рисунок 8 – Модель AS IS, часть 3: перевозка и таможенное оформление" title="Рисунок 8 – Модель AS IS, часть 3: перевозка и таможенное оформл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8 – Модель AS IS, часть 3: перевозка и таможенное оформление</w:t>
      </w:r>
    </w:p>
    <w:p>
      <w:pPr>
        <w:pageBreakBefore/>
        <w:spacing w:line="240" w:lineRule="auto"/>
      </w:pP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9429750" cy="4886325"/>
            <wp:effectExtent t="0" r="0" b="0" l="0"/>
            <wp:docPr id="1" name="asis4" descr="Рисунок 9 – Модель AS IS, часть 4: доставка на склад, приёмка и оприходование" title="Рисунок 9 – Модель AS IS, часть 4: доставка на склад, приёмка и оприход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9 – Модель AS IS, часть 4: доставка на склад, приёмка и оприходование</w:t>
      </w:r>
    </w:p>
    <w:p>
      <w:pPr>
        <w:sectPr>
          <w:footerReference w:type="default" r:id="rId8"/>
          <w:pgSz w:w="16838" w:h="11906" w:orient="landscape"/>
          <w:pgMar w:top="1134" w:right="850" w:bottom="1020" w:left="1134" w:header="567" w:footer="454" w:gutter="0"/>
          <w:pgNumType/>
          <w:docGrid w:linePitch="360"/>
        </w:sectPr>
      </w:pPr>
    </w:p>
    <w:p>
      <w:pPr>
        <w:pStyle w:val="Heading1"/>
        <w:keepNext/>
        <w:spacing w:after="24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Проблемы текущего процесса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Анализ модели AS IS выявил десять проблем (таблица 10). Их номера проставлены на задачах модели (рисунки 6–9). Для каждой проблемы методом «пять почему» найдена корневая причина.</w:t>
      </w:r>
    </w:p>
    <w:p>
      <w:pPr>
        <w:keepNext/>
        <w:spacing w:after="80" w:before="200"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10 – Проблемы процесса «Импортная закупка товара» в текущем состоянии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66"/>
        <w:gridCol w:w="2834"/>
        <w:gridCol w:w="2097"/>
        <w:gridCol w:w="2267"/>
        <w:gridCol w:w="1591"/>
      </w:tblGrid>
      <w:tr>
        <w:trPr>
          <w:cantSplit/>
          <w:tblHeader/>
        </w:trPr>
        <w:tc>
          <w:tcPr>
            <w:tcW w:type="dxa" w:w="566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2834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Проблема и где проявляется</w:t>
            </w:r>
          </w:p>
        </w:tc>
        <w:tc>
          <w:tcPr>
            <w:tcW w:type="dxa" w:w="2097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Последствия</w:t>
            </w:r>
          </w:p>
        </w:tc>
        <w:tc>
          <w:tcPr>
            <w:tcW w:type="dxa" w:w="2267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Корневая причина</w:t>
            </w:r>
          </w:p>
        </w:tc>
        <w:tc>
          <w:tcPr>
            <w:tcW w:type="dxa" w:w="1591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Показатель</w:t>
            </w:r>
          </w:p>
        </w:tc>
      </w:tr>
      <w:tr>
        <w:trPr>
          <w:cantSplit/>
          <w:tblHeader w:val="false"/>
        </w:trPr>
        <w:tc>
          <w:tcPr>
            <w:tcW w:type="dxa" w:w="5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П1</w:t>
            </w:r>
          </w:p>
        </w:tc>
        <w:tc>
          <w:tcPr>
            <w:tcW w:type="dxa" w:w="28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Заказ собирается вручную в Excel по выгрузке остатков из 1С (этап 1)</w:t>
            </w:r>
          </w:p>
        </w:tc>
        <w:tc>
          <w:tcPr>
            <w:tcW w:type="dxa" w:w="209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 дня на заказ; ошибки в количествах; дефицит или излишки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 1С не настроен расчёт потребности с учётом страхового запаса и срока поставки</w:t>
            </w:r>
          </w:p>
        </w:tc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Длительность этапа 1; доля дефицитных позиций</w:t>
            </w:r>
          </w:p>
        </w:tc>
      </w:tr>
      <w:tr>
        <w:trPr>
          <w:cantSplit/>
          <w:tblHeader w:val="false"/>
        </w:trPr>
        <w:tc>
          <w:tcPr>
            <w:tcW w:type="dxa" w:w="5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П2</w:t>
            </w:r>
          </w:p>
        </w:tc>
        <w:tc>
          <w:tcPr>
            <w:tcW w:type="dxa" w:w="28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Запрос цен рассылается по каждой поставке, даже постоянным поставщикам; предложения сравниваются вручную; переписка — в личных мессенджерах (этап 2)</w:t>
            </w:r>
          </w:p>
        </w:tc>
        <w:tc>
          <w:tcPr>
            <w:tcW w:type="dxa" w:w="209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 дней на выбор поставщика; история переговоров теряется при уходе сотрудника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Нет рамочных контрактов и критериев оценки поставщиков</w:t>
            </w:r>
          </w:p>
        </w:tc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Длительность этапа 2</w:t>
            </w:r>
          </w:p>
        </w:tc>
      </w:tr>
      <w:tr>
        <w:trPr>
          <w:cantSplit/>
          <w:tblHeader w:val="false"/>
        </w:trPr>
        <w:tc>
          <w:tcPr>
            <w:tcW w:type="dxa" w:w="5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П3</w:t>
            </w:r>
          </w:p>
        </w:tc>
        <w:tc>
          <w:tcPr>
            <w:tcW w:type="dxa" w:w="28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Последовательные бумажные согласования: записка о выборе поставщика, подписание контракта, две записки на оплату; 30 % записок возвращаются (этапы 2–6)</w:t>
            </w:r>
          </w:p>
        </w:tc>
        <w:tc>
          <w:tcPr>
            <w:tcW w:type="dxa" w:w="209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Ожидание 4–6 дней на поставку; руководитель — узкое место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Нет лимитов согласования и электронного согласования в 1С</w:t>
            </w:r>
          </w:p>
        </w:tc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Число согласований; время ожидания</w:t>
            </w:r>
          </w:p>
        </w:tc>
      </w:tr>
      <w:tr>
        <w:trPr>
          <w:cantSplit/>
          <w:tblHeader w:val="false"/>
        </w:trPr>
        <w:tc>
          <w:tcPr>
            <w:tcW w:type="dxa" w:w="5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П4</w:t>
            </w:r>
          </w:p>
        </w:tc>
        <w:tc>
          <w:tcPr>
            <w:tcW w:type="dxa" w:w="28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Отдельный контракт на каждую поставку и его постановка на учёт в банке (этап 3)</w:t>
            </w:r>
          </w:p>
        </w:tc>
        <w:tc>
          <w:tcPr>
            <w:tcW w:type="dxa" w:w="209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 дней на контракт; одни и те же переговоры повторяются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используются долгосрочные (рамочные) контракты со спецификациями</w:t>
            </w:r>
          </w:p>
        </w:tc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Длительность этапа 3</w:t>
            </w:r>
          </w:p>
        </w:tc>
      </w:tr>
      <w:tr>
        <w:trPr>
          <w:cantSplit/>
          <w:tblHeader w:val="false"/>
        </w:trPr>
        <w:tc>
          <w:tcPr>
            <w:tcW w:type="dxa" w:w="5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П5</w:t>
            </w:r>
          </w:p>
        </w:tc>
        <w:tc>
          <w:tcPr>
            <w:tcW w:type="dxa" w:w="28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Платежи в КНР идут до 10 дней; остаток оплачивается до отгрузки (этапы 4, 6)</w:t>
            </w:r>
          </w:p>
        </w:tc>
        <w:tc>
          <w:tcPr>
            <w:tcW w:type="dxa" w:w="209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Готовый товар ждёт оплаты; производство начинается позже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Условия «30/70 до отгрузки»; платёж запускается только запиской; один банковский маршрут</w:t>
            </w:r>
          </w:p>
        </w:tc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Время от готовности до отгрузки</w:t>
            </w:r>
          </w:p>
        </w:tc>
      </w:tr>
      <w:tr>
        <w:trPr>
          <w:cantSplit/>
          <w:tblHeader w:val="false"/>
        </w:trPr>
        <w:tc>
          <w:tcPr>
            <w:tcW w:type="dxa" w:w="5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П6</w:t>
            </w:r>
          </w:p>
        </w:tc>
        <w:tc>
          <w:tcPr>
            <w:tcW w:type="dxa" w:w="28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Контейнер бронируется после готовности товара; статус груза выясняется звонками (этапы 6–7)</w:t>
            </w:r>
          </w:p>
        </w:tc>
        <w:tc>
          <w:tcPr>
            <w:tcW w:type="dxa" w:w="209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Ожидание контейнера до 7 дней; около 6 чел.-ч на отслеживание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Логистика подключается к процессу поздно; нет общего статуса поставки</w:t>
            </w:r>
          </w:p>
        </w:tc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Ожидание брони; трудозатраты</w:t>
            </w:r>
          </w:p>
        </w:tc>
      </w:tr>
      <w:tr>
        <w:trPr>
          <w:cantSplit/>
          <w:tblHeader w:val="false"/>
        </w:trPr>
        <w:tc>
          <w:tcPr>
            <w:tcW w:type="dxa" w:w="5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П7</w:t>
            </w:r>
          </w:p>
        </w:tc>
        <w:tc>
          <w:tcPr>
            <w:tcW w:type="dxa" w:w="28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Документы поставщика проверяются после прибытия груза; в 40 % поставок их исправляют, пока груз на СВХ (этап 8)</w:t>
            </w:r>
          </w:p>
        </w:tc>
        <w:tc>
          <w:tcPr>
            <w:tcW w:type="dxa" w:w="209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Простой на СВХ, плата за хранение, риск корректировки декларации на товары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Нет предотгрузочной проверки и шаблонов документов для поставщика</w:t>
            </w:r>
          </w:p>
        </w:tc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Доля поставок с исправле­ниями; время на СВХ</w:t>
            </w:r>
          </w:p>
        </w:tc>
      </w:tr>
      <w:tr>
        <w:trPr>
          <w:cantSplit/>
          <w:tblHeader w:val="false"/>
        </w:trPr>
        <w:tc>
          <w:tcPr>
            <w:tcW w:type="dxa" w:w="5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П8</w:t>
            </w:r>
          </w:p>
        </w:tc>
        <w:tc>
          <w:tcPr>
            <w:tcW w:type="dxa" w:w="28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Потребность в декларации соответствия на новые позиции выясняется при таможенном оформлении (этап 8)</w:t>
            </w:r>
          </w:p>
        </w:tc>
        <w:tc>
          <w:tcPr>
            <w:tcW w:type="dxa" w:w="209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 30 % поставок — до 14 дней простоя на СВХ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Подтверждение соответствия не встроено в этап заказа</w:t>
            </w:r>
          </w:p>
        </w:tc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Доля поставок, задержанных из-за декларации соответствия</w:t>
            </w:r>
          </w:p>
        </w:tc>
      </w:tr>
      <w:tr>
        <w:trPr>
          <w:cantSplit/>
          <w:tblHeader w:val="false"/>
        </w:trPr>
        <w:tc>
          <w:tcPr>
            <w:tcW w:type="dxa" w:w="5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П9</w:t>
            </w:r>
          </w:p>
        </w:tc>
        <w:tc>
          <w:tcPr>
            <w:tcW w:type="dxa" w:w="28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Приёмка — ручной пересчёт по бумажному упаковочному листу; акт и претензия готовятся около недели (этап 9)</w:t>
            </w:r>
          </w:p>
        </w:tc>
        <w:tc>
          <w:tcPr>
            <w:tcW w:type="dxa" w:w="209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24 чел.-ч на приёмку; претензия может не уложиться в срок, установленный контрактом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Нет сканирования штрихкодов и шаблона претензии</w:t>
            </w:r>
          </w:p>
        </w:tc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Длительность приёмки; срок претензии</w:t>
            </w:r>
          </w:p>
        </w:tc>
      </w:tr>
      <w:tr>
        <w:trPr>
          <w:cantSplit/>
          <w:tblHeader w:val="false"/>
        </w:trPr>
        <w:tc>
          <w:tcPr>
            <w:tcW w:type="dxa" w:w="5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П10</w:t>
            </w:r>
          </w:p>
        </w:tc>
        <w:tc>
          <w:tcPr>
            <w:tcW w:type="dxa" w:w="28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Оприходование — после сбора всех документов, себестоимость считается в Excel (этап 10)</w:t>
            </w:r>
          </w:p>
        </w:tc>
        <w:tc>
          <w:tcPr>
            <w:tcW w:type="dxa" w:w="209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Товар 4 дня лежит на складе, но не продаётся; цены продажи обновляются с опозданием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Поступление не создаётся в 1С заранее; распределение дополнительных расходов в 1С не используется</w:t>
            </w:r>
          </w:p>
        </w:tc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Срок от приёмки до доступности к продаже</w:t>
            </w:r>
          </w:p>
        </w:tc>
      </w:tr>
    </w:tbl>
    <w:p>
      <w:pPr>
        <w:spacing w:after="120" w:line="240" w:lineRule="auto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Больше всего времени теряется на оплате (этапы 4 и 6 — 25 дня), на таможенном оформлении (этап 8 — 10,8 дня) и на выборе поставщика с заключением контракта (этапы 2 и 3 — 15,6 дня).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По происхождению проблемы делятся на три группы: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организационные — поздно подключённые участники и последовательные согласования (П3, П5, П6, П8);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информационные — ручная работа в Excel и переписке вместо учётной системы (П1, П2, П9, П10);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договорные — условия контрактов и оплаты (П4, П5, П7).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У большинства проблем общая черта: работа, которую можно сделать заранее, начинается тогда, когда без неё уже нельзя двигаться дальше. Контейнер бронируют после готовности товара, документы проверяют после прибытия груза, о декларации соответствия вспоминают на таможне. Поэтому ожидания складываются последовательно, а не перекрываются.</w:t>
      </w:r>
    </w:p>
    <w:p>
      <w:pPr>
        <w:pStyle w:val="Heading1"/>
        <w:keepNext/>
        <w:pageBreakBefore/>
        <w:spacing w:after="240" w:before="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Новая модель процесса «TO BE» («как должно быть»)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Новая модель (рисунки 10–13) построена на одном принципе: всё, что можно сделать до наступления события, делается до него, а не после. Изменения перечислены в таблице 11; их номера (И1–И10) проставлены на задачах модели.</w:t>
      </w:r>
    </w:p>
    <w:p>
      <w:pPr>
        <w:keepNext/>
        <w:spacing w:after="80" w:before="200"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11 – Изменения процесса и устраняемые проблемы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66"/>
        <w:gridCol w:w="3175"/>
        <w:gridCol w:w="1020"/>
        <w:gridCol w:w="2608"/>
        <w:gridCol w:w="1986"/>
      </w:tblGrid>
      <w:tr>
        <w:trPr>
          <w:cantSplit/>
          <w:tblHeader/>
        </w:trPr>
        <w:tc>
          <w:tcPr>
            <w:tcW w:type="dxa" w:w="566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3175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Изменение</w:t>
            </w:r>
          </w:p>
        </w:tc>
        <w:tc>
          <w:tcPr>
            <w:tcW w:type="dxa" w:w="1020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Пробле­мы</w:t>
            </w:r>
          </w:p>
        </w:tc>
        <w:tc>
          <w:tcPr>
            <w:tcW w:type="dxa" w:w="2608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меняется в модели</w:t>
            </w:r>
          </w:p>
        </w:tc>
        <w:tc>
          <w:tcPr>
            <w:tcW w:type="dxa" w:w="1986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Ответственный, ресурсы</w:t>
            </w:r>
          </w:p>
        </w:tc>
      </w:tr>
      <w:tr>
        <w:trPr>
          <w:cantSplit/>
          <w:tblHeader w:val="false"/>
        </w:trPr>
        <w:tc>
          <w:tcPr>
            <w:tcW w:type="dxa" w:w="5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И1</w:t>
            </w:r>
          </w:p>
        </w:tc>
        <w:tc>
          <w:tcPr>
            <w:tcW w:type="dxa" w:w="317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Расчёт потребности в 1С:УТ по остаткам, продажам, страховому запасу и сроку поставки; еженедельный цикл планирования</w:t>
            </w:r>
          </w:p>
        </w:tc>
        <w:tc>
          <w:tcPr>
            <w:tcW w:type="dxa" w:w="10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П1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Сервисная задача «Рассчитать потребность»; менеджер только проверяет заказ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Руководитель отдела; программист 1С</w:t>
            </w:r>
          </w:p>
        </w:tc>
      </w:tr>
      <w:tr>
        <w:trPr>
          <w:cantSplit/>
          <w:tblHeader w:val="false"/>
        </w:trPr>
        <w:tc>
          <w:tcPr>
            <w:tcW w:type="dxa" w:w="5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И2</w:t>
            </w:r>
          </w:p>
        </w:tc>
        <w:tc>
          <w:tcPr>
            <w:tcW w:type="dxa" w:w="317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Рамочные контракты с постоянными поставщиками, поставки — спецификациями; запрос цен с оценкой по критериям — только для новых позиций и поставщиков; переписка — в корпоративной почте с привязкой к заказу</w:t>
            </w:r>
          </w:p>
        </w:tc>
        <w:tc>
          <w:tcPr>
            <w:tcW w:type="dxa" w:w="10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П2, П4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Подпроцесс «Выбрать поставщика» — только по ветви «новая позиция»; спецификация по шаблону; контракт ставится на учёт в банке один раз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Коммерческий директор, юрист</w:t>
            </w:r>
          </w:p>
        </w:tc>
      </w:tr>
      <w:tr>
        <w:trPr>
          <w:cantSplit/>
          <w:tblHeader w:val="false"/>
        </w:trPr>
        <w:tc>
          <w:tcPr>
            <w:tcW w:type="dxa" w:w="5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И3</w:t>
            </w:r>
          </w:p>
        </w:tc>
        <w:tc>
          <w:tcPr>
            <w:tcW w:type="dxa" w:w="317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Согласование в 1С с лимитами: в пределах лимита — руководитель отдела, сверх лимита — коммерческий директор; подписание спецификаций через ЭДО</w:t>
            </w:r>
          </w:p>
        </w:tc>
        <w:tc>
          <w:tcPr>
            <w:tcW w:type="dxa" w:w="10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П3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Шлюз «Сумма в пределах лимита?»; служебные записки исключены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Коммерческий директор, ИТ-служба</w:t>
            </w:r>
          </w:p>
        </w:tc>
      </w:tr>
      <w:tr>
        <w:trPr>
          <w:cantSplit/>
          <w:tblHeader w:val="false"/>
        </w:trPr>
        <w:tc>
          <w:tcPr>
            <w:tcW w:type="dxa" w:w="5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И4</w:t>
            </w:r>
          </w:p>
        </w:tc>
        <w:tc>
          <w:tcPr>
            <w:tcW w:type="dxa" w:w="317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Платёжный календарь: заявки на оплату формируются в 1С из графика платежей спецификации; маршрут платежа в юанях согласован с банком заранее; остаток — против копии коносамента</w:t>
            </w:r>
          </w:p>
        </w:tc>
        <w:tc>
          <w:tcPr>
            <w:tcW w:type="dxa" w:w="10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П3, П5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Сервисные задачи оплаты; оплата остатка перенесена на время перевозки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Финансовый директор</w:t>
            </w:r>
          </w:p>
        </w:tc>
      </w:tr>
      <w:tr>
        <w:trPr>
          <w:cantSplit/>
          <w:tblHeader w:val="false"/>
        </w:trPr>
        <w:tc>
          <w:tcPr>
            <w:tcW w:type="dxa" w:w="5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И5</w:t>
            </w:r>
          </w:p>
        </w:tc>
        <w:tc>
          <w:tcPr>
            <w:tcW w:type="dxa" w:w="317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Контейнер бронируется при размещении заказа на плановую дату готовности; статус и ожидаемая дата прибытия (ETA) — в 1С по данным экспедитора; транспорт со склада заказывается к прибытию</w:t>
            </w:r>
          </w:p>
        </w:tc>
        <w:tc>
          <w:tcPr>
            <w:tcW w:type="dxa" w:w="10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П6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Бронирование — параллельно производству; задача «Отслеживать ETA в 1С»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Директор по логистике</w:t>
            </w:r>
          </w:p>
        </w:tc>
      </w:tr>
      <w:tr>
        <w:trPr>
          <w:cantSplit/>
          <w:tblHeader w:val="false"/>
        </w:trPr>
        <w:tc>
          <w:tcPr>
            <w:tcW w:type="dxa" w:w="5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И6</w:t>
            </w:r>
          </w:p>
        </w:tc>
        <w:tc>
          <w:tcPr>
            <w:tcW w:type="dxa" w:w="317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Проверка проектов инвойса и упаковочного листа по чек-листу до отгрузки; шаблоны документов для поставщика; коды ТН ВЭД согласуются с таможенным представителем заранее</w:t>
            </w:r>
          </w:p>
        </w:tc>
        <w:tc>
          <w:tcPr>
            <w:tcW w:type="dxa" w:w="10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П7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Задачи проверки и исправления документов до отгрузки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Специалист по ВЭД</w:t>
            </w:r>
          </w:p>
        </w:tc>
      </w:tr>
      <w:tr>
        <w:trPr>
          <w:cantSplit/>
          <w:tblHeader w:val="false"/>
        </w:trPr>
        <w:tc>
          <w:tcPr>
            <w:tcW w:type="dxa" w:w="5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И7</w:t>
            </w:r>
          </w:p>
        </w:tc>
        <w:tc>
          <w:tcPr>
            <w:tcW w:type="dxa" w:w="317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Подтверждение соответствия встроено в этап заказа: на новые позиции декларация соответствия оформляется параллельно с производством; реестр разрешительных документов в 1С</w:t>
            </w:r>
          </w:p>
        </w:tc>
        <w:tc>
          <w:tcPr>
            <w:tcW w:type="dxa" w:w="10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П8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Задача «Новые позиции: оформить декларацию соответствия» в параллельной ветви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Специалист по сертификации</w:t>
            </w:r>
          </w:p>
        </w:tc>
      </w:tr>
      <w:tr>
        <w:trPr>
          <w:cantSplit/>
          <w:tblHeader w:val="false"/>
        </w:trPr>
        <w:tc>
          <w:tcPr>
            <w:tcW w:type="dxa" w:w="5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И8</w:t>
            </w:r>
          </w:p>
        </w:tc>
        <w:tc>
          <w:tcPr>
            <w:tcW w:type="dxa" w:w="317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Предварительное таможенное декларирование (декларация на товары подаётся до прибытия товара) и авансовые таможенные платежи</w:t>
            </w:r>
          </w:p>
        </w:tc>
        <w:tc>
          <w:tcPr>
            <w:tcW w:type="dxa" w:w="10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П7, П8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Задачи «Передать документы брокеру» и «Внести авансовые платежи» во время перевозки; выпуск в день прибытия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Специалист по ВЭД, финансовая служба</w:t>
            </w:r>
          </w:p>
        </w:tc>
      </w:tr>
      <w:tr>
        <w:trPr>
          <w:cantSplit/>
          <w:tblHeader w:val="false"/>
        </w:trPr>
        <w:tc>
          <w:tcPr>
            <w:tcW w:type="dxa" w:w="5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И9</w:t>
            </w:r>
          </w:p>
        </w:tc>
        <w:tc>
          <w:tcPr>
            <w:tcW w:type="dxa" w:w="317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Приёмка со сканированием штрихкодов на терминалах сбора данных (ТСД), расхождения сразу в 1С; претензия по шаблону в день приёмки</w:t>
            </w:r>
          </w:p>
        </w:tc>
        <w:tc>
          <w:tcPr>
            <w:tcW w:type="dxa" w:w="10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П9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Задачи «Принять товар со сканированием», «Направить претензию по шаблону»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Начальник склада; 2–3 ТСД</w:t>
            </w:r>
          </w:p>
        </w:tc>
      </w:tr>
      <w:tr>
        <w:trPr>
          <w:cantSplit/>
          <w:tblHeader w:val="false"/>
        </w:trPr>
        <w:tc>
          <w:tcPr>
            <w:tcW w:type="dxa" w:w="5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И10</w:t>
            </w:r>
          </w:p>
        </w:tc>
        <w:tc>
          <w:tcPr>
            <w:tcW w:type="dxa" w:w="317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Поступление создаётся в 1С заранее (товар в пути); дополнительные расходы распределяются на себестоимость в 1С</w:t>
            </w:r>
          </w:p>
        </w:tc>
        <w:tc>
          <w:tcPr>
            <w:tcW w:type="dxa" w:w="10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П10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Сервисная задача «Провести поступление, распределить расходы»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Бухгалтерия, программист 1С</w:t>
            </w:r>
          </w:p>
        </w:tc>
      </w:tr>
    </w:tbl>
    <w:p>
      <w:pPr>
        <w:spacing w:after="120" w:line="240" w:lineRule="auto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Часть 1 — заказ и спецификация (рисунок 10).</w:t>
      </w:r>
      <w:r>
        <w:rPr>
          <w:rFonts w:ascii="Times New Roman" w:cs="Times New Roman" w:eastAsia="Times New Roman" w:hAnsi="Times New Roman"/>
        </w:rPr>
        <w:t xml:space="preserve"> Планирование становится еженедельным и начинается с автоматического расчёта потребности в 1С. Менеджер проверяет заказ; поставщик выбирается заново только для новых позиций (около 20 % заказов), для остальных сразу формируется спецификация к рамочному контракту. Согласование идёт в 1С по лимитам, спецификация подписывается через ЭДО.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Часть 2 — оплата, производство, подготовка отгрузки (рисунок 11).</w:t>
      </w:r>
      <w:r>
        <w:rPr>
          <w:rFonts w:ascii="Times New Roman" w:cs="Times New Roman" w:eastAsia="Times New Roman" w:hAnsi="Times New Roman"/>
        </w:rPr>
        <w:t xml:space="preserve"> После подписания спецификации три ветви идут параллельно: финансовая служба платит аванс по платёжному календарю; отдел закупок и ВЭД оформляет декларации соответствия на новые позиции и согласует с таможенным представителем коды ТН ВЭД и шаблоны документов; логистика бронирует контейнер на плановую дату готовности. Все три ветви укладываются в 30 дней производства. Проекты инвойса и упаковочного листа проверяются до отгрузки, и ошибки исправляются, пока товар ещё у поставщика.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Часть 3 — перевозка и предварительное декларирование (рисунок 12).</w:t>
      </w:r>
      <w:r>
        <w:rPr>
          <w:rFonts w:ascii="Times New Roman" w:cs="Times New Roman" w:eastAsia="Times New Roman" w:hAnsi="Times New Roman"/>
        </w:rPr>
        <w:t xml:space="preserve"> Остаток оплачивается против копии коносамента — во время перевозки, а не до отгрузки. Пока груз в пути, документы передаются таможенному представителю для предварительного декларирования и вносятся авансовые таможенные платежи; логист видит ожидаемую дату прибытия в 1С и заказывает транспорт заранее. Товар выпускается в день прибытия.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Часть 4 — склад и оприходование (рисунок 13).</w:t>
      </w:r>
      <w:r>
        <w:rPr>
          <w:rFonts w:ascii="Times New Roman" w:cs="Times New Roman" w:eastAsia="Times New Roman" w:hAnsi="Times New Roman"/>
        </w:rPr>
        <w:t xml:space="preserve"> Товар принимается со сканированием штрихкодов, расхождения сразу попадают в 1С, претензия направляется в день приёмки. Поступление уже создано в 1С, дополнительные расходы распределяются на себестоимость автоматически, и товар доступен к продаже в день приёмки.</w:t>
      </w:r>
    </w:p>
    <w:p>
      <w:pPr>
        <w:sectPr>
          <w:footerReference w:type="default" r:id="rId9"/>
          <w:pgSz w:w="11906" w:h="16838" w:orient="portrait"/>
          <w:pgMar w:top="1134" w:right="850" w:bottom="1134" w:left="1701" w:header="567" w:footer="567" w:gutter="0"/>
          <w:pgNumType/>
          <w:docGrid w:linePitch="360"/>
        </w:sectPr>
      </w:pP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9429750" cy="2905125"/>
            <wp:effectExtent t="0" r="0" b="0" l="0"/>
            <wp:docPr id="1" name="tobe1" descr="Рисунок 10 – Модель TO BE, часть 1: формирование заказа и спецификации" title="Рисунок 10 – Модель TO BE, часть 1: формирование заказа и специфик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10 – Модель TO BE, часть 1: формирование заказа и спецификации</w:t>
      </w:r>
    </w:p>
    <w:p>
      <w:pPr>
        <w:pageBreakBefore/>
        <w:spacing w:line="240" w:lineRule="auto"/>
      </w:pP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9429750" cy="4410075"/>
            <wp:effectExtent t="0" r="0" b="0" l="0"/>
            <wp:docPr id="1" name="tobe2" descr="Рисунок 11 – Модель TO BE, часть 2: оплата, производство и подготовка отгрузки" title="Рисунок 11 – Модель TO BE, часть 2: оплата, производство и подготовка отгруз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11 – Модель TO BE, часть 2: оплата, производство и подготовка отгрузки</w:t>
      </w:r>
    </w:p>
    <w:p>
      <w:pPr>
        <w:pageBreakBefore/>
        <w:spacing w:line="240" w:lineRule="auto"/>
      </w:pP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9429750" cy="5343525"/>
            <wp:effectExtent t="0" r="0" b="0" l="0"/>
            <wp:docPr id="1" name="tobe3" descr="Рисунок 12 – Модель TO BE, часть 3: перевозка и предварительное таможенное декларирование" title="Рисунок 12 – Модель TO BE, часть 3: перевозка и предварительное таможенное деклар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12 – Модель TO BE, часть 3: перевозка и предварительное таможенное декларирование</w:t>
      </w:r>
    </w:p>
    <w:p>
      <w:pPr>
        <w:pageBreakBefore/>
        <w:spacing w:line="240" w:lineRule="auto"/>
      </w:pP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9429750" cy="5486400"/>
            <wp:effectExtent t="0" r="0" b="0" l="0"/>
            <wp:docPr id="1" name="tobe4" descr="Рисунок 13 – Модель TO BE, часть 4: доставка на склад, приёмка и оприходование" title="Рисунок 13 – Модель TO BE, часть 4: доставка на склад, приёмка и оприход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13 – Модель TO BE, часть 4: доставка на склад, приёмка и оприходование</w:t>
      </w:r>
    </w:p>
    <w:p>
      <w:pPr>
        <w:sectPr>
          <w:footerReference w:type="default" r:id="rId10"/>
          <w:pgSz w:w="16838" w:h="11906" w:orient="landscape"/>
          <w:pgMar w:top="1134" w:right="850" w:bottom="1020" w:left="1134" w:header="567" w:footer="454" w:gutter="0"/>
          <w:pgNumType/>
          <w:docGrid w:linePitch="360"/>
        </w:sectPr>
      </w:pPr>
    </w:p>
    <w:p>
      <w:pPr>
        <w:pStyle w:val="Heading1"/>
        <w:keepNext/>
        <w:spacing w:after="24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Сравнение текущей и новой моделей процесса</w:t>
      </w:r>
    </w:p>
    <w:p>
      <w:pPr>
        <w:pStyle w:val="Heading2"/>
        <w:keepNext/>
        <w:spacing w:after="120" w:before="24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12.1. Длительность процесса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Длительность каждого этапа в обеих моделях рассчитана по допущениям модели: шаги, которые выполняются не в каждой поставке, учтены как ожидаемое значение — вероятность, умноженная на длительность (например, исправление документов в AS IS: 40 % × 4 дня = 1,6 дня). Результат — в таблице 12 и на рисунке 14.</w:t>
      </w:r>
    </w:p>
    <w:p>
      <w:pPr>
        <w:keepNext/>
        <w:spacing w:after="80" w:before="200"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12 – Длительность этапов процесса, календарных дней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628"/>
        <w:gridCol w:w="907"/>
        <w:gridCol w:w="907"/>
        <w:gridCol w:w="2041"/>
        <w:gridCol w:w="1872"/>
      </w:tblGrid>
      <w:tr>
        <w:trPr>
          <w:cantSplit/>
          <w:tblHeader/>
        </w:trPr>
        <w:tc>
          <w:tcPr>
            <w:tcW w:type="dxa" w:w="3628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Этап</w:t>
            </w:r>
          </w:p>
        </w:tc>
        <w:tc>
          <w:tcPr>
            <w:tcW w:type="dxa" w:w="907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AS IS</w:t>
            </w:r>
          </w:p>
        </w:tc>
        <w:tc>
          <w:tcPr>
            <w:tcW w:type="dxa" w:w="907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 BE</w:t>
            </w:r>
          </w:p>
        </w:tc>
        <w:tc>
          <w:tcPr>
            <w:tcW w:type="dxa" w:w="2041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Изменение</w:t>
            </w:r>
          </w:p>
        </w:tc>
        <w:tc>
          <w:tcPr>
            <w:tcW w:type="dxa" w:w="1872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 счёт изменений</w:t>
            </w:r>
          </w:p>
        </w:tc>
      </w:tr>
      <w:tr>
        <w:trPr>
          <w:cantSplit/>
          <w:tblHeader w:val="false"/>
        </w:trPr>
        <w:tc>
          <w:tcPr>
            <w:tcW w:type="dxa" w:w="362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Формирование заказа поставщику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04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−1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И1</w:t>
            </w:r>
          </w:p>
        </w:tc>
      </w:tr>
      <w:tr>
        <w:trPr>
          <w:cantSplit/>
          <w:tblHeader w:val="false"/>
        </w:trPr>
        <w:tc>
          <w:tcPr>
            <w:tcW w:type="dxa" w:w="362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Выбор поставщика и согласование условий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8,6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1,7</w:t>
            </w:r>
          </w:p>
        </w:tc>
        <w:tc>
          <w:tcPr>
            <w:tcW w:type="dxa" w:w="204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−6,9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И2, И3</w:t>
            </w:r>
          </w:p>
        </w:tc>
      </w:tr>
      <w:tr>
        <w:trPr>
          <w:cantSplit/>
          <w:tblHeader w:val="false"/>
        </w:trPr>
        <w:tc>
          <w:tcPr>
            <w:tcW w:type="dxa" w:w="362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Заключение контракта, валютный контроль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2,5</w:t>
            </w:r>
          </w:p>
        </w:tc>
        <w:tc>
          <w:tcPr>
            <w:tcW w:type="dxa" w:w="204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−4,5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И2, И3</w:t>
            </w:r>
          </w:p>
        </w:tc>
      </w:tr>
      <w:tr>
        <w:trPr>
          <w:cantSplit/>
          <w:tblHeader w:val="false"/>
        </w:trPr>
        <w:tc>
          <w:tcPr>
            <w:tcW w:type="dxa" w:w="362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Оплата аванса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04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−6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И4</w:t>
            </w:r>
          </w:p>
        </w:tc>
      </w:tr>
      <w:tr>
        <w:trPr>
          <w:cantSplit/>
          <w:tblHeader w:val="false"/>
        </w:trPr>
        <w:tc>
          <w:tcPr>
            <w:tcW w:type="dxa" w:w="362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 Производство у поставщика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</w:t>
            </w:r>
          </w:p>
        </w:tc>
        <w:tc>
          <w:tcPr>
            <w:tcW w:type="dxa" w:w="204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62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6. Оплата остатка и отгрузка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3,1</w:t>
            </w:r>
          </w:p>
        </w:tc>
        <w:tc>
          <w:tcPr>
            <w:tcW w:type="dxa" w:w="204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−10,9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И4, И5, И6</w:t>
            </w:r>
          </w:p>
        </w:tc>
      </w:tr>
      <w:tr>
        <w:trPr>
          <w:cantSplit/>
          <w:tblHeader w:val="false"/>
        </w:trPr>
        <w:tc>
          <w:tcPr>
            <w:tcW w:type="dxa" w:w="362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7. Международная перевозка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45</w:t>
            </w:r>
          </w:p>
        </w:tc>
        <w:tc>
          <w:tcPr>
            <w:tcW w:type="dxa" w:w="204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62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8. Таможенное оформление, подтверждение соответствия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10,8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04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−9,8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И6, И7, И8</w:t>
            </w:r>
          </w:p>
        </w:tc>
      </w:tr>
      <w:tr>
        <w:trPr>
          <w:cantSplit/>
          <w:tblHeader w:val="false"/>
        </w:trPr>
        <w:tc>
          <w:tcPr>
            <w:tcW w:type="dxa" w:w="362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9. Доставка на склад и приёмка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04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−2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И5, И9</w:t>
            </w:r>
          </w:p>
        </w:tc>
      </w:tr>
      <w:tr>
        <w:trPr>
          <w:cantSplit/>
          <w:tblHeader w:val="false"/>
        </w:trPr>
        <w:tc>
          <w:tcPr>
            <w:tcW w:type="dxa" w:w="362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10. Оприходование и расчёт себестоимости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0,5</w:t>
            </w:r>
          </w:p>
        </w:tc>
        <w:tc>
          <w:tcPr>
            <w:tcW w:type="dxa" w:w="204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−3,5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И10</w:t>
            </w:r>
          </w:p>
        </w:tc>
      </w:tr>
      <w:tr>
        <w:trPr>
          <w:cantSplit/>
          <w:tblHeader w:val="false"/>
        </w:trPr>
        <w:tc>
          <w:tcPr>
            <w:tcW w:type="dxa" w:w="3628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Итого: длительность цикла</w:t>
            </w:r>
          </w:p>
        </w:tc>
        <w:tc>
          <w:tcPr>
            <w:tcW w:type="dxa" w:w="907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136,4</w:t>
            </w:r>
          </w:p>
        </w:tc>
        <w:tc>
          <w:tcPr>
            <w:tcW w:type="dxa" w:w="907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91,8</w:t>
            </w:r>
          </w:p>
        </w:tc>
        <w:tc>
          <w:tcPr>
            <w:tcW w:type="dxa" w:w="2041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−44,6 (−32,7 %)</w:t>
            </w:r>
          </w:p>
        </w:tc>
        <w:tc>
          <w:tcPr>
            <w:tcW w:type="dxa" w:w="1872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3628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 том числе управляемая часть (без этапов 5 и 7)</w:t>
            </w:r>
          </w:p>
        </w:tc>
        <w:tc>
          <w:tcPr>
            <w:tcW w:type="dxa" w:w="907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61,4</w:t>
            </w:r>
          </w:p>
        </w:tc>
        <w:tc>
          <w:tcPr>
            <w:tcW w:type="dxa" w:w="907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16,8</w:t>
            </w:r>
          </w:p>
        </w:tc>
        <w:tc>
          <w:tcPr>
            <w:tcW w:type="dxa" w:w="2041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−44,6 (−72,6 %)</w:t>
            </w:r>
          </w:p>
        </w:tc>
        <w:tc>
          <w:tcPr>
            <w:tcW w:type="dxa" w:w="1872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</w:p>
        </w:tc>
      </w:tr>
    </w:tbl>
    <w:p>
      <w:pPr>
        <w:spacing w:after="120" w:line="240" w:lineRule="auto"/>
      </w:pP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943600" cy="3114675"/>
            <wp:effectExtent t="0" r="0" b="0" l="0"/>
            <wp:docPr id="1" name="chart" descr="Рисунок 14 – Длительность этапов процесса в моделях AS IS и TO BE, календарных дней" title="Рисунок 14 – Длительность этапов процесса в моделях AS IS и TO BE, календарных дн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14 – Длительность этапов процесса в моделях AS IS и TO BE, календарных дней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Полный цикл сокращается с 136,4 до 91,8 дня — на 44,6 дня, или 32,7 %. Производство и перевозка (75 дней) не меняются: на них компания не влияет. Зато управляемая часть цикла — собственные операции и ожидания — сокращается с 61,4 до 16,8 дня, то есть на 72,6 %. Главный вклад дают перенос работ в параллель с производством и перевозкой (этапы 6 и 8) и отказ от отдельного контракта и бумажных согласований на каждую поставку (этапы 2–4).</w:t>
      </w:r>
    </w:p>
    <w:p>
      <w:pPr>
        <w:pStyle w:val="Heading2"/>
        <w:keepNext/>
        <w:spacing w:after="120" w:before="24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12.2. Трудозатраты</w:t>
      </w:r>
    </w:p>
    <w:p>
      <w:pPr>
        <w:keepNext/>
        <w:spacing w:after="80" w:before="200"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13 – Трудозатраты на одну поставку, чел.-ч (оценка по модели)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515"/>
        <w:gridCol w:w="963"/>
        <w:gridCol w:w="963"/>
        <w:gridCol w:w="3914"/>
      </w:tblGrid>
      <w:tr>
        <w:trPr>
          <w:cantSplit/>
          <w:tblHeader/>
        </w:trPr>
        <w:tc>
          <w:tcPr>
            <w:tcW w:type="dxa" w:w="3515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Этап</w:t>
            </w:r>
          </w:p>
        </w:tc>
        <w:tc>
          <w:tcPr>
            <w:tcW w:type="dxa" w:w="963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 IS</w:t>
            </w:r>
          </w:p>
        </w:tc>
        <w:tc>
          <w:tcPr>
            <w:tcW w:type="dxa" w:w="963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 BE</w:t>
            </w:r>
          </w:p>
        </w:tc>
        <w:tc>
          <w:tcPr>
            <w:tcW w:type="dxa" w:w="3914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Комментарий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Формирование заказа поставщику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1,5</w:t>
            </w:r>
          </w:p>
        </w:tc>
        <w:tc>
          <w:tcPr>
            <w:tcW w:type="dxa" w:w="39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 потребности выполняет 1С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 Выбор поставщика и согласование условий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1,7</w:t>
            </w:r>
          </w:p>
        </w:tc>
        <w:tc>
          <w:tcPr>
            <w:tcW w:type="dxa" w:w="39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Выбор поставщика — только для новых позиций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 Заключение контракта, валютный контроль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9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Спецификация по шаблону вместо отдельного контракта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 Оплата аванса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</w:t>
            </w:r>
          </w:p>
        </w:tc>
        <w:tc>
          <w:tcPr>
            <w:tcW w:type="dxa" w:w="39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Заявка на оплату формируется в 1С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 Производство у поставщика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4,4</w:t>
            </w:r>
          </w:p>
        </w:tc>
        <w:tc>
          <w:tcPr>
            <w:tcW w:type="dxa" w:w="39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Сюда перенесены декларации соответствия и коды ТН ВЭД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6. Оплата остатка и отгрузка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9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Добавлена проверка проектов документов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7. Международная перевозка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9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 груза в 1С вместо звонков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8. Таможенное оформление, подтверждение соответствия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2,5</w:t>
            </w:r>
          </w:p>
        </w:tc>
        <w:tc>
          <w:tcPr>
            <w:tcW w:type="dxa" w:w="39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Без исправлений после прибытия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9. Доставка на склад и приёмка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26,6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13,15</w:t>
            </w:r>
          </w:p>
        </w:tc>
        <w:tc>
          <w:tcPr>
            <w:tcW w:type="dxa" w:w="39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Сканирование вместо ручного пересчёта (3 чел. × 4 ч вместо 4 чел. × 6 ч)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10. Оприходование и расчёт себестоимости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9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Расходы распределяет 1С</w:t>
            </w:r>
          </w:p>
        </w:tc>
      </w:tr>
      <w:tr>
        <w:trPr>
          <w:cantSplit/>
          <w:tblHeader w:val="false"/>
        </w:trPr>
        <w:tc>
          <w:tcPr>
            <w:tcW w:type="dxa" w:w="3515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 на поставку</w:t>
            </w:r>
          </w:p>
        </w:tc>
        <w:tc>
          <w:tcPr>
            <w:tcW w:type="dxa" w:w="963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82,6</w:t>
            </w:r>
          </w:p>
        </w:tc>
        <w:tc>
          <w:tcPr>
            <w:tcW w:type="dxa" w:w="963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31,75</w:t>
            </w:r>
          </w:p>
        </w:tc>
        <w:tc>
          <w:tcPr>
            <w:tcW w:type="dxa" w:w="3914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−61,6 %</w:t>
            </w:r>
          </w:p>
        </w:tc>
      </w:tr>
      <w:tr>
        <w:trPr>
          <w:cantSplit/>
          <w:tblHeader w:val="false"/>
        </w:trPr>
        <w:tc>
          <w:tcPr>
            <w:tcW w:type="dxa" w:w="3515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 год (60 поставок)</w:t>
            </w:r>
          </w:p>
        </w:tc>
        <w:tc>
          <w:tcPr>
            <w:tcW w:type="dxa" w:w="963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4 956</w:t>
            </w:r>
          </w:p>
        </w:tc>
        <w:tc>
          <w:tcPr>
            <w:tcW w:type="dxa" w:w="963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1 905</w:t>
            </w:r>
          </w:p>
        </w:tc>
        <w:tc>
          <w:tcPr>
            <w:tcW w:type="dxa" w:w="3914"/>
            <w:shd w:fill="F4F6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−3 051 чел.-ч ≈ 1,5 ставки</w:t>
            </w:r>
          </w:p>
        </w:tc>
      </w:tr>
    </w:tbl>
    <w:p>
      <w:pPr>
        <w:spacing w:after="120" w:line="240" w:lineRule="auto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Трудозатраты на этапе 5 в новой модели растут: туда перенесена работа, которая раньше выполнялась после прибытия груза, когда каждый её день означал простой на СВХ. В целом на одну поставку уходит в 2,6 раза меньше рабочего времени, а в год высвобождается около 1,5 ставки (при 1 970 рабочих часах в году на ставку).</w:t>
      </w:r>
    </w:p>
    <w:p>
      <w:pPr>
        <w:pStyle w:val="Heading2"/>
        <w:keepNext/>
        <w:spacing w:after="120" w:before="24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12.3. Сравнение показателей</w:t>
      </w:r>
    </w:p>
    <w:p>
      <w:pPr>
        <w:keepNext/>
        <w:spacing w:after="80" w:before="200"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14 – Сравнение показателей процесса в моделях AS IS и TO BE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968"/>
        <w:gridCol w:w="1417"/>
        <w:gridCol w:w="1417"/>
        <w:gridCol w:w="2553"/>
      </w:tblGrid>
      <w:tr>
        <w:trPr>
          <w:cantSplit/>
          <w:tblHeader/>
        </w:trPr>
        <w:tc>
          <w:tcPr>
            <w:tcW w:type="dxa" w:w="3968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1417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 IS</w:t>
            </w:r>
          </w:p>
        </w:tc>
        <w:tc>
          <w:tcPr>
            <w:tcW w:type="dxa" w:w="1417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 BE</w:t>
            </w:r>
          </w:p>
        </w:tc>
        <w:tc>
          <w:tcPr>
            <w:tcW w:type="dxa" w:w="2553"/>
            <w:shd w:fill="E6EA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Изменение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Длительность цикла, дн.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136,4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91,8</w:t>
            </w:r>
          </w:p>
        </w:tc>
        <w:tc>
          <w:tcPr>
            <w:tcW w:type="dxa" w:w="25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−44,6 (−32,7 %)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Управляемая часть цикла, дн.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61,4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16,8</w:t>
            </w:r>
          </w:p>
        </w:tc>
        <w:tc>
          <w:tcPr>
            <w:tcW w:type="dxa" w:w="25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−72,6 %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от прибытия до выпуска (простой на СВХ), дн.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10,8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5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−90,7 %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от готовности товара до отгрузки, дн.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3,1</w:t>
            </w:r>
          </w:p>
        </w:tc>
        <w:tc>
          <w:tcPr>
            <w:tcW w:type="dxa" w:w="25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−77,9 %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от поступления на склад до доступности к продаже, дн.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1,5</w:t>
            </w:r>
          </w:p>
        </w:tc>
        <w:tc>
          <w:tcPr>
            <w:tcW w:type="dxa" w:w="25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−75 %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Ручные согласования и служебные записки на поставку, шт.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5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Согласование в 1С по лимиту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Доля поставок с исправлением документов после прибытия, %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≈0</w:t>
            </w:r>
          </w:p>
        </w:tc>
        <w:tc>
          <w:tcPr>
            <w:tcW w:type="dxa" w:w="25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Ошибки исправляются до отгрузки (≈10 % поставок)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Доля поставок, задержанных из-за декларации соответствия, %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25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Декларация оформляется во время производства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направления претензии после приёмки, дн.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≈7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≤1</w:t>
            </w:r>
          </w:p>
        </w:tc>
        <w:tc>
          <w:tcPr>
            <w:tcW w:type="dxa" w:w="25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 по шаблону в день приёмки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Трудозатраты на одну поставку, чел.-ч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82,6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31,75</w:t>
            </w:r>
          </w:p>
        </w:tc>
        <w:tc>
          <w:tcPr>
            <w:tcW w:type="dxa" w:w="25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−61,6 %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 запас в пути (пропорционален сроку поставки), % к AS IS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67,3</w:t>
            </w:r>
          </w:p>
        </w:tc>
        <w:tc>
          <w:tcPr>
            <w:tcW w:type="dxa" w:w="25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−32,7 %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Страховой запас (пропорционален квадратному корню из срока поставки), % к AS IS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25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−18 %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 поставки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запросу экспедитору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1С: статус и ETA</w:t>
            </w:r>
          </w:p>
        </w:tc>
        <w:tc>
          <w:tcPr>
            <w:tcW w:type="dxa" w:w="25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Прозрачность для продаж и склада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Себестоимость партии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Excel, через 4 дня после приёмки</w:t>
            </w:r>
          </w:p>
        </w:tc>
        <w:tc>
          <w:tcPr>
            <w:tcW w:type="dxa" w:w="141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1С, в день приёмки</w:t>
            </w:r>
          </w:p>
        </w:tc>
        <w:tc>
          <w:tcPr>
            <w:tcW w:type="dxa" w:w="25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Цены продажи обновляются сразу</w:t>
            </w:r>
          </w:p>
        </w:tc>
      </w:tr>
    </w:tbl>
    <w:p>
      <w:pPr>
        <w:spacing w:after="120" w:line="240" w:lineRule="auto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Новая модель </w:t>
      </w:r>
      <w:r>
        <w:rPr>
          <w:rFonts w:ascii="Times New Roman" w:cs="Times New Roman" w:eastAsia="Times New Roman" w:hAnsi="Times New Roman"/>
          <w:b/>
          <w:bCs/>
        </w:rPr>
        <w:t xml:space="preserve">результативнее</w:t>
      </w:r>
      <w:r>
        <w:rPr>
          <w:rFonts w:ascii="Times New Roman" w:cs="Times New Roman" w:eastAsia="Times New Roman" w:hAnsi="Times New Roman"/>
        </w:rPr>
        <w:t xml:space="preserve">: товар попадает в продажу на полтора месяца раньше, простой на СВХ из-за документов исчезает, претензии направляются в день приёмки, а дефицит снижается, потому что заказы рассчитываются чаще и с учётом срока поставки. Она и </w:t>
      </w:r>
      <w:r>
        <w:rPr>
          <w:rFonts w:ascii="Times New Roman" w:cs="Times New Roman" w:eastAsia="Times New Roman" w:hAnsi="Times New Roman"/>
          <w:b/>
          <w:bCs/>
        </w:rPr>
        <w:t xml:space="preserve">эффективнее</w:t>
      </w:r>
      <w:r>
        <w:rPr>
          <w:rFonts w:ascii="Times New Roman" w:cs="Times New Roman" w:eastAsia="Times New Roman" w:hAnsi="Times New Roman"/>
        </w:rPr>
        <w:t xml:space="preserve">: на поставку уходит меньше рабочего времени, а оборотные средства в запасах в пути и страховом запасе снижаются вместе со сроком поставки.</w:t>
      </w:r>
    </w:p>
    <w:p>
      <w:pPr>
        <w:pStyle w:val="Heading2"/>
        <w:keepNext/>
        <w:spacing w:after="120" w:before="24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12.4. Условия и риски внедрения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Поставщики должны согласиться на рамочный контракт и оплату остатка против копии коносамента. Для тех, кто не согласится, этап 6 останется прежним, и цикл по их поставкам сократится примерно на 33,7 дня вместо 44,6.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Предварительное декларирование требует точных сведений о товаре до прибытия: ошибка в инвойсе обернётся корректировкой декларации на товары. Поэтому И8 вводится только вместе с предотгрузочной проверкой документов (И6).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Срок платежа в КНР зависит от банка и внешних ограничений; принятые в модели 5 дней нужно проверить на нескольких платежах до перехода на новый график.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Затраты на внедрение: настройка 1С (расчёт потребности, согласование по лимитам, статусы поставок, распределение расходов), подключение ЭДО, 2–3 ТСД, обучение сотрудников. Они окупаются высвобождением рабочего времени и снижением оборотных средств в запасах.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Внедрять изменения стоит поэтапно: сначала И6–И8 (наибольший эффект — простой на СВХ), затем И2–И5 (договорные изменения требуют переговоров), затем И1, И9 и И10 (доработки 1С и оборудование склада).</w:t>
      </w:r>
    </w:p>
    <w:p>
      <w:pPr>
        <w:pStyle w:val="Heading1"/>
        <w:keepNext/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 работе исследован бизнес-процесс импортной закупки товара в оптовой торговой компании ООО «НеваИмпорт». Описаны организационная структура компании и её процессы верхнего уровня, определены границы процесса — от утверждения плана закупок до товара, доступного к продаже, — его участники, ресурсы и показатели. Процесс декомпозирован на десять этапов, для обследования составлены методы, источники информации и 24 ключевых вопроса.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Модель AS IS в нотации BPMN 2.0 показала, что из 136,4 дня цикла 61,4 дня — собственные операции и ожидания компании. Выявлены десять проблем; у большинства из них общая причина: работы, которые можно выполнить заранее, начинаются только тогда, когда без них нельзя двигаться дальше.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Модель TO BE переносит эти работы в параллель с производством и перевозкой, заменяет отдельные контракты рамочными, бумажные согласования — согласованием в 1С по лимитам, а ручной учёт — расчётами в 1С и сканированием на складе. По расчёту на модели цикл сокращается на 32,7 % (с 136,4 до 91,8 дня), управляемая его часть — на 72,6 %, трудозатраты на поставку — на 61,6 %, простой на СВХ — с 10,8 дня до одного. Значения рассчитаны по допущениям модели; перед внедрением их следует уточнить по фактическим данным компании.</w:t>
      </w:r>
    </w:p>
    <w:p>
      <w:pPr>
        <w:pStyle w:val="Heading1"/>
        <w:keepNext/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pStyle w:val="ListParagraph"/>
        <w:numPr>
          <w:ilvl w:val="0"/>
          <w:numId w:val="4"/>
        </w:numPr>
        <w:spacing w:line="360" w:lineRule="auto"/>
        <w:jc w:val="left"/>
      </w:pPr>
      <w:r>
        <w:rPr>
          <w:rFonts w:ascii="Times New Roman" w:cs="Times New Roman" w:eastAsia="Times New Roman" w:hAnsi="Times New Roman"/>
        </w:rPr>
        <w:t xml:space="preserve">Таможенный кодекс Евразийского экономического союза (приложение № 1 к Договору о Таможенном кодексе Евразийского экономического союза от 11.04.2017).</w:t>
      </w:r>
    </w:p>
    <w:p>
      <w:pPr>
        <w:pStyle w:val="ListParagraph"/>
        <w:numPr>
          <w:ilvl w:val="0"/>
          <w:numId w:val="4"/>
        </w:numPr>
        <w:spacing w:line="360" w:lineRule="auto"/>
        <w:jc w:val="left"/>
      </w:pPr>
      <w:r>
        <w:rPr>
          <w:rFonts w:ascii="Times New Roman" w:cs="Times New Roman" w:eastAsia="Times New Roman" w:hAnsi="Times New Roman"/>
        </w:rPr>
        <w:t xml:space="preserve">Федеральный закон от 03.08.2018 № 289-ФЗ «О таможенном регулировании в Российской Федерации и о внесении изменений в отдельные законодательные акты Российской Федерации».</w:t>
      </w:r>
    </w:p>
    <w:p>
      <w:pPr>
        <w:pStyle w:val="ListParagraph"/>
        <w:numPr>
          <w:ilvl w:val="0"/>
          <w:numId w:val="4"/>
        </w:numPr>
        <w:spacing w:line="360" w:lineRule="auto"/>
        <w:jc w:val="left"/>
      </w:pPr>
      <w:r>
        <w:rPr>
          <w:rFonts w:ascii="Times New Roman" w:cs="Times New Roman" w:eastAsia="Times New Roman" w:hAnsi="Times New Roman"/>
        </w:rPr>
        <w:t xml:space="preserve">Федеральный закон от 10.12.2003 № 173-ФЗ «О валютном регулировании и валютном контроле».</w:t>
      </w:r>
    </w:p>
    <w:p>
      <w:pPr>
        <w:pStyle w:val="ListParagraph"/>
        <w:numPr>
          <w:ilvl w:val="0"/>
          <w:numId w:val="4"/>
        </w:numPr>
        <w:spacing w:line="360" w:lineRule="auto"/>
        <w:jc w:val="left"/>
      </w:pPr>
      <w:r>
        <w:rPr>
          <w:rFonts w:ascii="Times New Roman" w:cs="Times New Roman" w:eastAsia="Times New Roman" w:hAnsi="Times New Roman"/>
        </w:rPr>
        <w:t xml:space="preserve">Инструкция Банка России от 16.08.2017 № 181-И «О порядке представления резидентами и нерезидентами уполномоченным банкам подтверждающих документов и информации при осуществлении валютных операций, о единых формах учета и отчетности по валютным операциям, порядке и сроках их представления».</w:t>
      </w:r>
    </w:p>
    <w:p>
      <w:pPr>
        <w:pStyle w:val="ListParagraph"/>
        <w:numPr>
          <w:ilvl w:val="0"/>
          <w:numId w:val="4"/>
        </w:numPr>
        <w:spacing w:line="360" w:lineRule="auto"/>
        <w:jc w:val="left"/>
      </w:pPr>
      <w:r>
        <w:rPr>
          <w:rFonts w:ascii="Times New Roman" w:cs="Times New Roman" w:eastAsia="Times New Roman" w:hAnsi="Times New Roman"/>
        </w:rPr>
        <w:t xml:space="preserve">Технический регламент Таможенного союза ТР ТС 004/2011 «О безопасности низковольтного оборудования» (утв. решением Комиссии Таможенного союза от 16.08.2011 № 768).</w:t>
      </w:r>
    </w:p>
    <w:p>
      <w:pPr>
        <w:pStyle w:val="ListParagraph"/>
        <w:numPr>
          <w:ilvl w:val="0"/>
          <w:numId w:val="4"/>
        </w:numPr>
        <w:spacing w:line="360" w:lineRule="auto"/>
        <w:jc w:val="left"/>
      </w:pPr>
      <w:r>
        <w:rPr>
          <w:rFonts w:ascii="Times New Roman" w:cs="Times New Roman" w:eastAsia="Times New Roman" w:hAnsi="Times New Roman"/>
        </w:rPr>
        <w:t xml:space="preserve">Технический регламент Таможенного союза ТР ТС 010/2011 «О безопасности машин и оборудования» (утв. решением Комиссии Таможенного союза от 18.10.2011 № 823).</w:t>
      </w:r>
    </w:p>
    <w:p>
      <w:pPr>
        <w:pStyle w:val="ListParagraph"/>
        <w:numPr>
          <w:ilvl w:val="0"/>
          <w:numId w:val="4"/>
        </w:numPr>
        <w:spacing w:line="360" w:lineRule="auto"/>
        <w:jc w:val="left"/>
      </w:pPr>
      <w:r>
        <w:rPr>
          <w:rFonts w:ascii="Times New Roman" w:cs="Times New Roman" w:eastAsia="Times New Roman" w:hAnsi="Times New Roman"/>
        </w:rPr>
        <w:t xml:space="preserve">Технический регламент Таможенного союза ТР ТС 020/2011 «Электромагнитная совместимость технических средств» (утв. решением Комиссии Таможенного союза от 09.12.2011 № 879).</w:t>
      </w:r>
    </w:p>
    <w:p>
      <w:pPr>
        <w:pStyle w:val="ListParagraph"/>
        <w:numPr>
          <w:ilvl w:val="0"/>
          <w:numId w:val="4"/>
        </w:numPr>
        <w:spacing w:line="360" w:lineRule="auto"/>
        <w:jc w:val="left"/>
      </w:pPr>
      <w:r>
        <w:rPr>
          <w:rFonts w:ascii="Times New Roman" w:cs="Times New Roman" w:eastAsia="Times New Roman" w:hAnsi="Times New Roman"/>
        </w:rPr>
        <w:t xml:space="preserve">Инкотермс® 2020. Правила ICC по использованию национальных и международных торговых терминов. — Международная торговая палата (ICC), 2019.</w:t>
      </w:r>
    </w:p>
    <w:p>
      <w:pPr>
        <w:pStyle w:val="ListParagraph"/>
        <w:numPr>
          <w:ilvl w:val="0"/>
          <w:numId w:val="4"/>
        </w:numPr>
        <w:spacing w:line="360" w:lineRule="auto"/>
        <w:jc w:val="left"/>
      </w:pPr>
      <w:r>
        <w:rPr>
          <w:rFonts w:ascii="Times New Roman" w:cs="Times New Roman" w:eastAsia="Times New Roman" w:hAnsi="Times New Roman"/>
        </w:rPr>
        <w:t xml:space="preserve">Р 50.1.028-2001. Информационные технологии поддержки жизненного цикла продукции. Методология функционального моделирования.</w:t>
      </w:r>
    </w:p>
    <w:p>
      <w:pPr>
        <w:pStyle w:val="ListParagraph"/>
        <w:numPr>
          <w:ilvl w:val="0"/>
          <w:numId w:val="4"/>
        </w:numPr>
        <w:spacing w:line="360" w:lineRule="auto"/>
        <w:jc w:val="left"/>
      </w:pPr>
      <w:r>
        <w:rPr>
          <w:rFonts w:ascii="Times New Roman" w:cs="Times New Roman" w:eastAsia="Times New Roman" w:hAnsi="Times New Roman"/>
        </w:rPr>
        <w:t xml:space="preserve">Business Process Model and Notation (BPMN). Version 2.0.2. — Object Management Group, 2014. — URL: https://www.omg.org/spec/BPMN/2.0.2/.</w:t>
      </w:r>
    </w:p>
    <w:p>
      <w:pPr>
        <w:pStyle w:val="ListParagraph"/>
        <w:numPr>
          <w:ilvl w:val="0"/>
          <w:numId w:val="4"/>
        </w:numPr>
        <w:spacing w:line="360" w:lineRule="auto"/>
        <w:jc w:val="left"/>
      </w:pPr>
      <w:r>
        <w:rPr>
          <w:rFonts w:ascii="Times New Roman" w:cs="Times New Roman" w:eastAsia="Times New Roman" w:hAnsi="Times New Roman"/>
        </w:rPr>
        <w:t xml:space="preserve">Елиферов В. Г., Репин В. В. Бизнес-процессы: регламентация и управление: учебник. — М.: ИНФРА-М, 2004.</w:t>
      </w:r>
    </w:p>
    <w:p>
      <w:pPr>
        <w:pStyle w:val="ListParagraph"/>
        <w:numPr>
          <w:ilvl w:val="0"/>
          <w:numId w:val="4"/>
        </w:numPr>
        <w:spacing w:line="360" w:lineRule="auto"/>
        <w:jc w:val="left"/>
      </w:pPr>
      <w:r>
        <w:rPr>
          <w:rFonts w:ascii="Times New Roman" w:cs="Times New Roman" w:eastAsia="Times New Roman" w:hAnsi="Times New Roman"/>
        </w:rPr>
        <w:t xml:space="preserve">Репин В. В. Бизнес-процессы. Моделирование, внедрение, управление. — М.: Манн, Иванов и Фербер, 2013.</w:t>
      </w:r>
    </w:p>
    <w:p>
      <w:pPr>
        <w:pStyle w:val="ListParagraph"/>
        <w:numPr>
          <w:ilvl w:val="0"/>
          <w:numId w:val="4"/>
        </w:numPr>
        <w:spacing w:line="360" w:lineRule="auto"/>
        <w:jc w:val="left"/>
      </w:pPr>
      <w:r>
        <w:rPr>
          <w:rFonts w:ascii="Times New Roman" w:cs="Times New Roman" w:eastAsia="Times New Roman" w:hAnsi="Times New Roman"/>
        </w:rPr>
        <w:t xml:space="preserve">Шеер А.-В. Моделирование бизнес-процессов. — 2-е изд. — М.: Весть-МетаТехнология, 2000.</w:t>
      </w:r>
    </w:p>
    <w:sectPr>
      <w:footerReference w:type="default" r:id="rId11"/>
      <w:pgSz w:w="11906" w:h="16838" w:orient="portrait"/>
      <w:pgMar w:top="1134" w:right="850" w:bottom="1134" w:left="1701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image" Target="media/243cc7baf3590945e5fe581748e3bfd171250456.png"/><Relationship Id="rId13" Type="http://schemas.openxmlformats.org/officeDocument/2006/relationships/image" Target="media/c679674bcf4d132080fe43e4baa60df2899b97fe.png"/><Relationship Id="rId14" Type="http://schemas.openxmlformats.org/officeDocument/2006/relationships/image" Target="media/51de8543d9f674e3aac10351c17fef2f67c6de77.png"/><Relationship Id="rId15" Type="http://schemas.openxmlformats.org/officeDocument/2006/relationships/image" Target="media/97085ee6b04e8ca93c4b1e0590903fe4c17bdf85.png"/><Relationship Id="rId16" Type="http://schemas.openxmlformats.org/officeDocument/2006/relationships/image" Target="media/1b8fba870c0de0678862125a04923a7d4adb1a47.png"/><Relationship Id="rId17" Type="http://schemas.openxmlformats.org/officeDocument/2006/relationships/image" Target="media/1685d73e0d0b0f7dc4351475d3b885af786e0a40.png"/><Relationship Id="rId18" Type="http://schemas.openxmlformats.org/officeDocument/2006/relationships/image" Target="media/6e75a6041e2b97fafcc3825a8e7dc1984e72dd17.png"/><Relationship Id="rId19" Type="http://schemas.openxmlformats.org/officeDocument/2006/relationships/image" Target="media/6329aa4dff3d13d4e91cf6f08dee67c0efc4e952.png"/><Relationship Id="rId20" Type="http://schemas.openxmlformats.org/officeDocument/2006/relationships/image" Target="media/3f74996437ab3656494656f9eab36fe2b4c46dea.png"/><Relationship Id="rId21" Type="http://schemas.openxmlformats.org/officeDocument/2006/relationships/image" Target="media/48e998f9dd8fd75a76eadad6cfd4ea6369b15ee6.png"/><Relationship Id="rId22" Type="http://schemas.openxmlformats.org/officeDocument/2006/relationships/image" Target="media/4cf7eca581ff514bbd7f152e3cbe717b4fbf344a.png"/><Relationship Id="rId23" Type="http://schemas.openxmlformats.org/officeDocument/2006/relationships/image" Target="media/fb36a6e7a88a499d8d90ede41899fd4d21d55ee9.png"/><Relationship Id="rId24" Type="http://schemas.openxmlformats.org/officeDocument/2006/relationships/image" Target="media/721820ca59d9ed70b3bebc1f4915b0f1073ee840.png"/><Relationship Id="rId25" Type="http://schemas.openxmlformats.org/officeDocument/2006/relationships/image" Target="media/0f8dc5db28dee53aff2fda6d0abe8a0a6ac0ad6e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Моделирование и анализ бизнес-процесса импортной закупки товара</dc:title>
  <dc:creator>Багишев Алихан Ахадович</dc:creator>
  <dc:description>Аналитическая работа, контрольная точка № 1</dc:description>
  <cp:lastModifiedBy>Un-named</cp:lastModifiedBy>
  <cp:revision>1</cp:revision>
  <dcterms:created xsi:type="dcterms:W3CDTF">2026-10-07T10:20:48.136Z</dcterms:created>
  <dcterms:modified xsi:type="dcterms:W3CDTF">2026-10-07T10:20:48.136Z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