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999999" w:sz="6" w:space="4"/>
        </w:pBdr>
        <w:spacing w:after="240"/>
      </w:pPr>
      <w:r>
        <w:rPr>
          <w:b/>
          <w:bCs/>
          <w:sz w:val="24"/>
          <w:szCs w:val="24"/>
          <w:highlight w:val="yellow"/>
          <w:highlightCs w:val="yellow"/>
        </w:rPr>
        <w:t xml:space="preserve">Tecnologia — AizoNews</w:t>
      </w:r>
    </w:p>
    <w:p>
      <w:pPr>
        <w:spacing w:after="320"/>
      </w:pPr>
      <w:r>
        <w:rPr>
          <w:b/>
          <w:bCs/>
          <w:sz w:val="44"/>
          <w:szCs w:val="44"/>
          <w:highlight w:val="yellow"/>
          <w:highlightCs w:val="yellow"/>
        </w:rPr>
        <w:t xml:space="preserve">DA PROVA DE CONCEITO AO RESULTADO: COMO AS EMPRESAS BRASILEIRAS ESTÃO COLOCANDO A IA PARA TRABALHAR EM 2026</w:t>
      </w:r>
    </w:p>
    <w:p>
      <w:pPr>
        <w:spacing w:after="160"/>
      </w:pPr>
      <w:r>
        <w:rPr>
          <w:sz w:val="22"/>
          <w:szCs w:val="22"/>
        </w:rPr>
        <w:t xml:space="preserve">A inteligência artificial nas empresas brasileiras cruzou uma linha importante nas últimas semanas. O que até pouco tempo eram provas de conceito isoladas começa a se converter em regras claras, infraestrutura pesada e resultados mensuráveis. Em poucos dias, o país viu avançar a governança regulatória sobre plataformas e sistemas de IA, ganhou novos anúncios bilionários de data centers e recebeu dados que mostram empresas usando IA de forma estruturante — não mais como vitrine tecnológica.</w:t>
      </w:r>
    </w:p>
    <w:p>
      <w:pPr>
        <w:spacing w:after="160"/>
      </w:pPr>
      <w:r>
        <w:rPr>
          <w:sz w:val="22"/>
          <w:szCs w:val="22"/>
        </w:rPr>
        <w:t xml:space="preserve">Para gestores e empresários, o recado é direto: a tecnologia saiu do laboratório e passou a exigir estratégia, governança e execução. Nesta edição da AizoNews, reunimos as três notícias mais relevantes da semana e explicamos, de forma prática, o que cada uma significa para a competitividade do seu negócio — e como transformar essas tendências em vantagem real.</w:t>
      </w:r>
    </w:p>
    <w:p>
      <w:pPr>
        <w:spacing w:after="140" w:before="280"/>
      </w:pPr>
      <w:r>
        <w:rPr>
          <w:b/>
          <w:bCs/>
          <w:sz w:val="26"/>
          <w:szCs w:val="26"/>
        </w:rPr>
        <w:t xml:space="preserve">1. Regulação de IA e plataformas avança no Brasil e coloca governança no centro da agenda corporativa</w:t>
      </w:r>
    </w:p>
    <w:p>
      <w:pPr>
        <w:spacing w:after="160"/>
      </w:pPr>
      <w:r>
        <w:rPr>
          <w:sz w:val="22"/>
          <w:szCs w:val="22"/>
        </w:rPr>
        <w:t xml:space="preserve">Nos últimos dias, ganhou força no país o debate sobre a responsabilidade das empresas pelos sistemas de inteligência artificial que colocam em operação. O movimento se soma a um conjunto de medidas recentes: em maio de 2026, o governo federal assinou decretos que ampliam a responsabilização das plataformas digitais sobre conteúdos ilegais, e, no início de junho, a Anatel aprovou sua Política de Governança de Inteligência Artificial, consolidando diretrizes para o uso responsável da tecnologia em instituições brasileiras.</w:t>
      </w:r>
    </w:p>
    <w:p>
      <w:pPr>
        <w:spacing w:after="160"/>
      </w:pPr>
      <w:r>
        <w:rPr>
          <w:sz w:val="22"/>
          <w:szCs w:val="22"/>
        </w:rPr>
        <w:t xml:space="preserve">O ponto central da proposta em construção é uma matriz de risco: quanto mais sensível a aplicação de IA, maiores as exigências de transparência, auditabilidade e controle. Ferramentas de menor impacto seguem regras simplificadas; sistemas que lidam com dados sensíveis, identidade ou direitos individuais entram no grupo de alto risco.</w:t>
      </w:r>
    </w:p>
    <w:p>
      <w:pPr>
        <w:spacing w:after="140" w:before="280"/>
      </w:pPr>
      <w:r>
        <w:rPr>
          <w:b/>
          <w:bCs/>
          <w:sz w:val="26"/>
          <w:szCs w:val="26"/>
        </w:rPr>
        <w:t xml:space="preserve">2. A corrida dos data centers de IA transforma o Brasil em polo estratégico</w:t>
      </w:r>
    </w:p>
    <w:p>
      <w:pPr>
        <w:spacing w:after="160"/>
      </w:pPr>
      <w:r>
        <w:rPr>
          <w:sz w:val="22"/>
          <w:szCs w:val="22"/>
        </w:rPr>
        <w:t xml:space="preserve">Enquanto a regulação amadurece, a infraestrutura acelera. O Brasil vive uma corrida por data centers dedicados à inteligência artificial, com anúncios que somam dezenas de bilhões de reais. Em julho, a prefeitura do Rio de Janeiro assinou um memorando de intenções para posicionar a cidade como a "capital da IA brasileira". No Rio Grande do Sul, o projeto Scala AI City, em Eldorado do Sul, prevê potência inicial de 1.800 megawatts. No Paraná, a RT-One anunciou em Maringá um complexo com investimento estimado em R$ 6 bilhões.</w:t>
      </w:r>
    </w:p>
    <w:p>
      <w:pPr>
        <w:spacing w:after="160"/>
      </w:pPr>
      <w:r>
        <w:rPr>
          <w:sz w:val="22"/>
          <w:szCs w:val="22"/>
        </w:rPr>
        <w:t xml:space="preserve">Para dar tração ao movimento, o governo criou o Redata — Regime Especial de Tributação para Serviços de Data Center —, com R$ 5,2 bilhões previstos no orçamento de 2026 para incentivar novos empreendimentos. A América Latina, com o Brasil à frente, desponta como destino relevante em um ciclo global de investimentos que soma trilhões de dólares.</w:t>
      </w:r>
    </w:p>
    <w:p>
      <w:pPr>
        <w:spacing w:after="140" w:before="280"/>
      </w:pPr>
      <w:r>
        <w:rPr>
          <w:b/>
          <w:bCs/>
          <w:sz w:val="26"/>
          <w:szCs w:val="26"/>
        </w:rPr>
        <w:t xml:space="preserve">O que muda para quem não vai construir um data center</w:t>
      </w:r>
    </w:p>
    <w:p>
      <w:pPr>
        <w:spacing w:after="160"/>
      </w:pPr>
      <w:r>
        <w:rPr>
          <w:sz w:val="22"/>
          <w:szCs w:val="22"/>
        </w:rPr>
        <w:t xml:space="preserve">A maioria das empresas nunca vai erguer um data center — e não precisa. O impacto real é a queda de barreiras: mais capacidade instalada no país significa IA mais rápida, mais barata e com menor latência para processar dados localmente, além de maior conformidade com regras de soberania de dados. Em outras palavras, aplicações de IA que antes eram caras ou lentas passam a ser viáveis para empresas de médio porte.</w:t>
      </w:r>
    </w:p>
    <w:p>
      <w:pPr>
        <w:spacing w:after="160"/>
      </w:pPr>
      <w:r>
        <w:rPr>
          <w:sz w:val="22"/>
          <w:szCs w:val="22"/>
        </w:rPr>
        <w:t xml:space="preserve">A oportunidade está em preparar o negócio para consumir essa capacidade com inteligência. Não basta ter poder de processamento disponível: é preciso ter processos digitalizados, dados organizados e canais prontos para converter demanda. É o que a Aizon Tec entrega com Criação de Sites, Landing Pages e Automação com IA — infraestrutura digital que permite capturar oportunidades geradas por esse novo ciclo tecnológico, mesmo sem grandes investimentos próprios em hardware. Ajudamos empresas a crescer com tecnologia, sem complicação.</w:t>
      </w:r>
    </w:p>
    <w:p>
      <w:pPr>
        <w:spacing w:after="140" w:before="280"/>
      </w:pPr>
      <w:r>
        <w:rPr>
          <w:b/>
          <w:bCs/>
          <w:sz w:val="26"/>
          <w:szCs w:val="26"/>
        </w:rPr>
        <w:t xml:space="preserve">3. Inteligência artificial nas empresas entra em fase de escala — e o relacionamento com o cliente lidera</w:t>
      </w:r>
    </w:p>
    <w:p>
      <w:pPr>
        <w:spacing w:after="160"/>
      </w:pPr>
      <w:r>
        <w:rPr>
          <w:sz w:val="22"/>
          <w:szCs w:val="22"/>
        </w:rPr>
        <w:t xml:space="preserve">A terceira notícia fecha o ciclo: os dados mostram que a adoção deixou de ser experimental. Segundo o estudo State of AI 2026 da Deloitte, 42% dos executivos brasileiros já usam IA para transformação estrutural do negócio, acima dos 34% da média global. E o dado mais relevante para o dia a dia comercial: 44% apontam melhoria no relacionamento com clientes, contra 38% no mundo. Além disso, 59% relatam decisões melhores com apoio de dados e 87% acreditam que a IA impulsionará o crescimento da receita nos próximos anos.</w:t>
      </w:r>
    </w:p>
    <w:p>
      <w:pPr>
        <w:spacing w:after="160"/>
      </w:pPr>
      <w:r>
        <w:rPr>
          <w:sz w:val="22"/>
          <w:szCs w:val="22"/>
        </w:rPr>
        <w:t xml:space="preserve">O apetite pela chamada IA agêntica — sistemas que executam tarefas de forma autônoma — é enorme: 95% das empresas brasileiras planejam adotá-la em até dois anos. O alerta, porém, está no mesmo estudo: apenas 27% têm modelos de governança maduros para esse tipo de IA. No cenário internacional, o movimento se confirma: a Microsoft anunciou investimento de US$ 2,5 bilhões para acelerar a adoção corporativa, e levantamentos como o da McKinsey já apontam que cerca de 71% das organizações usam IA generativa em pelo menos uma função de negócio.</w:t>
      </w:r>
    </w:p>
    <w:p>
      <w:pPr>
        <w:spacing w:after="140" w:before="280"/>
      </w:pPr>
      <w:r>
        <w:rPr>
          <w:b/>
          <w:bCs/>
          <w:sz w:val="26"/>
          <w:szCs w:val="26"/>
        </w:rPr>
        <w:t xml:space="preserve">O gargalo não é tecnologia — é execução</w:t>
      </w:r>
    </w:p>
    <w:p>
      <w:pPr>
        <w:spacing w:after="160"/>
      </w:pPr>
      <w:r>
        <w:rPr>
          <w:sz w:val="22"/>
          <w:szCs w:val="22"/>
        </w:rPr>
        <w:t xml:space="preserve">Ainda segundo a Deloitte, só 23% das empresas brasileiras conseguiram levar 40% ou mais de seus pilotos para produção. Ou seja: a maioria testa, mas poucas escalam. A diferença entre quem colhe resultado e quem fica no piloto está na integração — conectar IA aos processos que realmente geram receita.</w:t>
      </w:r>
    </w:p>
    <w:p>
      <w:pPr>
        <w:spacing w:after="160"/>
      </w:pPr>
      <w:r>
        <w:rPr>
          <w:sz w:val="22"/>
          <w:szCs w:val="22"/>
        </w:rPr>
        <w:t xml:space="preserve">O relacionamento com o cliente é o melhor ponto de partida, e é onde a Aizon Tec concentra soluções de impacto imediato. Com o CRM Integrado, a Automação com IA e o E-mail Marketing, é possível qualificar leads, personalizar a comunicação em escala e antecipar necessidades sem ampliar a equipe. A IA aqui não substitui pessoas: ela libera os times de tarefas repetitivas para que se concentrem no que exige julgamento humano, empatia e negociação — ampliando produtividade e resultados.</w:t>
      </w:r>
    </w:p>
    <w:p>
      <w:pPr>
        <w:spacing w:after="140" w:before="280"/>
      </w:pPr>
      <w:r>
        <w:rPr>
          <w:b/>
          <w:bCs/>
          <w:sz w:val="26"/>
          <w:szCs w:val="26"/>
        </w:rPr>
        <w:t xml:space="preserve">As três notícias da semana contam a mesma história por ângulos diferentes</w:t>
      </w:r>
    </w:p>
    <w:p>
      <w:pPr>
        <w:spacing w:after="160"/>
      </w:pPr>
      <w:r>
        <w:rPr>
          <w:sz w:val="22"/>
          <w:szCs w:val="22"/>
        </w:rPr>
        <w:t xml:space="preserve">Para transformar tudo isso em vantagem competitiva, três movimentos se destacam: adotar IA com governança e transparência desde o início, organizar dados e canais digitais para aproveitar a nova infraestrutura, e priorizar a integração da tecnologia aos processos que geram receita — começando pelo relacionamento com o cliente. As empresas que fizerem isso agora não apenas acompanharão a tendência: definirão o ritmo do próprio mercado.</w:t>
      </w:r>
    </w:p>
    <w:p>
      <w:pPr>
        <w:spacing w:after="160"/>
      </w:pPr>
      <w:r>
        <w:rPr>
          <w:sz w:val="22"/>
          <w:szCs w:val="22"/>
        </w:rPr>
        <w:t xml:space="preserve">Fale com nossos especialistas e descubra o próximo passo da sua transformação digital.</w:t>
      </w:r>
    </w:p>
    <w:p>
      <w:pPr>
        <w:pBdr>
          <w:top w:val="single" w:color="CCCCCC" w:sz="4" w:space="4"/>
        </w:pBdr>
        <w:spacing w:after="100" w:before="320"/>
      </w:pPr>
      <w:r>
        <w:rPr>
          <w:b/>
          <w:bCs/>
          <w:sz w:val="22"/>
          <w:szCs w:val="22"/>
        </w:rPr>
        <w:t xml:space="preserve">Fontes e referências:</w:t>
      </w:r>
    </w:p>
    <w:p>
      <w:pPr>
        <w:spacing w:after="240"/>
      </w:pPr>
      <w:hyperlink w:history="1" r:id="rIdf48xtzknud2xjbd6fng3g">
        <w:r>
          <w:rPr>
            <w:rStyle w:val="Hyperlink"/>
            <w:sz w:val="22"/>
            <w:szCs w:val="22"/>
          </w:rPr>
          <w:t xml:space="preserve">https://www.aizontec.com/aizonews</w:t>
        </w:r>
      </w:hyperlink>
    </w:p>
    <w:p>
      <w:r>
        <w:rPr>
          <w:sz w:val="22"/>
          <w:szCs w:val="22"/>
        </w:rPr>
        <w:t xml:space="preserve">Por: Anny Caetano | Analista de Marketing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f48xtzknud2xjbd6fng3g" Type="http://schemas.openxmlformats.org/officeDocument/2006/relationships/hyperlink" Target="https://www.aizontec.com/aizonews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2026-08-15T22:33:08.513Z</dcterms:created>
  <dcterms:modified xsi:type="dcterms:W3CDTF">2026-08-15T22:33:08.513Z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