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99999" w:sz="6" w:space="4"/>
        </w:pBdr>
        <w:spacing w:after="240"/>
      </w:pPr>
      <w:r>
        <w:rPr>
          <w:b/>
          <w:bCs/>
          <w:sz w:val="24"/>
          <w:szCs w:val="24"/>
          <w:highlight w:val="yellow"/>
          <w:highlightCs w:val="yellow"/>
        </w:rPr>
        <w:t xml:space="preserve">Tecnologia — AizoNews</w:t>
      </w:r>
    </w:p>
    <w:p>
      <w:pPr>
        <w:spacing w:after="320"/>
      </w:pPr>
      <w:r>
        <w:rPr>
          <w:b/>
          <w:bCs/>
          <w:sz w:val="44"/>
          <w:szCs w:val="44"/>
          <w:highlight w:val="yellow"/>
          <w:highlightCs w:val="yellow"/>
        </w:rPr>
        <w:t xml:space="preserve">IA COM GOVERNANÇA: A VANTAGEM QUE ESTÁ SEPARANDO AS EMPRESAS NA CORRIDA DIGITAL</w:t>
      </w:r>
    </w:p>
    <w:p>
      <w:pPr>
        <w:spacing w:after="160"/>
      </w:pPr>
      <w:r>
        <w:rPr>
          <w:sz w:val="22"/>
          <w:szCs w:val="22"/>
        </w:rPr>
        <w:t xml:space="preserve">Por muito tempo, ter inteligência artificial já foi motivo de destaque. Nesta semana, três notícias mostram que esse critério mudou: o que separa quem lidera de quem fica para trás não é mais "usar IA", e sim provar resultado, auditar decisões e entregar a jornada completa do cliente — do primeiro contato à resolução final.</w:t>
      </w:r>
    </w:p>
    <w:p>
      <w:pPr>
        <w:spacing w:after="140" w:before="280"/>
      </w:pPr>
      <w:r>
        <w:rPr>
          <w:b/>
          <w:bCs/>
          <w:sz w:val="26"/>
          <w:szCs w:val="26"/>
        </w:rPr>
        <w:t xml:space="preserve">Bancos brasileiros lideram ranking de maturidade em IA na América Latina</w:t>
      </w:r>
    </w:p>
    <w:p>
      <w:pPr>
        <w:spacing w:after="160"/>
      </w:pPr>
      <w:r>
        <w:rPr>
          <w:sz w:val="22"/>
          <w:szCs w:val="22"/>
        </w:rPr>
        <w:t xml:space="preserve">Em 21 de julho, a Evident Insights divulgou o Evident AI Index for Banks – LATAM 2026, primeiro ranking da região a medir maturidade em inteligência artificial nos 20 maiores bancos, usando mais de 60 indicadores construídos só com dados públicos: patentes, papers, transcrições de earnings calls e documentos estratégicos.</w:t>
      </w:r>
    </w:p>
    <w:p>
      <w:pPr>
        <w:spacing w:after="160"/>
      </w:pPr>
      <w:r>
        <w:rPr>
          <w:sz w:val="22"/>
          <w:szCs w:val="22"/>
        </w:rPr>
        <w:t xml:space="preserve">O resultado surpreende pela concentração: os quatro primeiros colocados são brasileiros. Nubank lidera, seguido por Itaú Unibanco, Bradesco e Banco do Brasil. No Nubank, praticamente toda a força de trabalho já usa IA no dia a dia; no Itaú, são mais de 500 casos de uso em produção. Ainda assim, o índice mostra um mercado dividido: 77% das instituições que já medem retorno tiveram ROI positivo no primeiro ano, mas apenas 8% operam IA generativa avançada em produção, e 58% dos bancos analisados nem sequer têm projeto de GenAI em andamento.</w:t>
      </w:r>
    </w:p>
    <w:p>
      <w:pPr>
        <w:spacing w:after="160"/>
      </w:pPr>
      <w:r>
        <w:rPr>
          <w:sz w:val="22"/>
          <w:szCs w:val="22"/>
        </w:rPr>
        <w:t xml:space="preserve">Esse hiato entre líderes e o restante é, no fundo, um problema de gente e de processo antes de ser um problema de modelo. Bancos que lideram trataram IA como capacidade organizacional — treinaram equipes, criaram governança, mediram ROI — não como piloto isolado de inovação. É exatamente o tipo de gargalo que soluções como AZTalent ajudam a resolver, conectando empresas a profissionais com o perfil certo para tirar a IA do papel, enquanto uma camada de CRM Integrado garante que o que os bancos líderes fazem em escala — IA embutida na jornada do cliente, não ao lado dela — vire prática replicável para empresas de qualquer porte.</w:t>
      </w:r>
    </w:p>
    <w:p>
      <w:pPr>
        <w:spacing w:after="140" w:before="280"/>
      </w:pPr>
      <w:r>
        <w:rPr>
          <w:b/>
          <w:bCs/>
          <w:sz w:val="26"/>
          <w:szCs w:val="26"/>
        </w:rPr>
        <w:t xml:space="preserve">AI Summit Brasil reúne até 10 mil pessoas no IPT para debater ética e regulação</w:t>
      </w:r>
    </w:p>
    <w:p>
      <w:pPr>
        <w:spacing w:after="160"/>
      </w:pPr>
      <w:r>
        <w:rPr>
          <w:sz w:val="22"/>
          <w:szCs w:val="22"/>
        </w:rPr>
        <w:t xml:space="preserve">Nos dias 22 e 23 de julho, o Instituto de Pesquisas Tecnológicas de São Paulo recebeu a etapa paulista da 8ª edição do AI Summit Brasil, considerado o maior congresso de inteligência artificial da América Latina. A expectativa era de até 10 mil participantes circulando por zonas de demonstração de IA generativa, visão computacional e automação inteligente.</w:t>
      </w:r>
    </w:p>
    <w:p>
      <w:pPr>
        <w:spacing w:after="160"/>
      </w:pPr>
      <w:r>
        <w:rPr>
          <w:sz w:val="22"/>
          <w:szCs w:val="22"/>
        </w:rPr>
        <w:t xml:space="preserve">O que chama atenção na programação não é a novidade tecnológica em si, mas o peso dado a ética, regulação e impacto social da IA — pautas que, um ano atrás, ainda apareciam como nota de rodapé em eventos do tipo e hoje ocupam painéis centrais ao lado de agentes autônomos e IA agêntica.</w:t>
      </w:r>
    </w:p>
    <w:p>
      <w:pPr>
        <w:spacing w:after="160"/>
      </w:pPr>
      <w:r>
        <w:rPr>
          <w:sz w:val="22"/>
          <w:szCs w:val="22"/>
        </w:rPr>
        <w:t xml:space="preserve">Esse deslocamento reflete uma maturidade que já aparece nas empresas que buscam automação: a pergunta deixou de ser "dá para automatizar isso com IA?" e passou a ser "consigo automatizar isso com controle, rastreabilidade e segurança?". É o território onde entra a Automação com IA/ICA da Aizon Tec — desenhada para que a automação inteligente tenha auditoria e governança desde a primeira implementação, não como remendo posterior.</w:t>
      </w:r>
    </w:p>
    <w:p>
      <w:pPr>
        <w:spacing w:after="140" w:before="280"/>
      </w:pPr>
      <w:r>
        <w:rPr>
          <w:b/>
          <w:bCs/>
          <w:sz w:val="26"/>
          <w:szCs w:val="26"/>
        </w:rPr>
        <w:t xml:space="preserve">Ushur lança plataforma de agentes que "terminam o trabalho" em setores regulados</w:t>
      </w:r>
    </w:p>
    <w:p>
      <w:pPr>
        <w:spacing w:after="160"/>
      </w:pPr>
      <w:r>
        <w:rPr>
          <w:sz w:val="22"/>
          <w:szCs w:val="22"/>
        </w:rPr>
        <w:t xml:space="preserve">Em 22 de julho, a americana Ushur anunciou a Ushur Agentic Platform, um sistema para construir agentes de IA que conduzem a jornada do cliente do início ao fim — não apenas respondem uma pergunta, mas atualizam uma cobertura de seguro, avançam um sinistro, integram um novo cliente bancário ou guiam um paciente por um plano de saúde. Os agentes transitam entre SMS, e-mail, chat, web e voz sem que o cliente precise repetir o que já disse, e times de negócio podem criar essas experiências descrevendo o que precisam em linguagem natural pela ferramenta Ushur Assist.</w:t>
      </w:r>
    </w:p>
    <w:p>
      <w:pPr>
        <w:spacing w:after="160"/>
      </w:pPr>
      <w:r>
        <w:rPr>
          <w:sz w:val="22"/>
          <w:szCs w:val="22"/>
        </w:rPr>
        <w:t xml:space="preserve">O diferencial declarado pela empresa não é a automação em si — mercado saturado de ferramentas do tipo — mas o que ela chama de arquitetura "trust-native": governança, segurança, compliance e supervisão humana embutidas em cada interação, não adicionadas depois como camada de conformidade. Os primeiros casos de uso já incluem atendimento a beneficiários de planos de saúde, redeterminação de elegibilidade no Medicaid e agendamento de transporte médico.</w:t>
      </w:r>
    </w:p>
    <w:p>
      <w:pPr>
        <w:spacing w:after="160"/>
      </w:pPr>
      <w:r>
        <w:rPr>
          <w:sz w:val="22"/>
          <w:szCs w:val="22"/>
        </w:rPr>
        <w:t xml:space="preserve">Empresas brasileiras que ainda tratam automação e CRM como sistemas separados sentem esse gap primeiro no cliente: ele começa uma conversa no WhatsApp, é atendido por um bot genérico e termina ligando para resolver o que já tinha explicado três vezes. É esse tipo de fricção que uma combinação de CRM Integrado com Desenvolvimento de Software sob medida elimina — construindo a jornada como um fluxo único, contínuo, em vez de pontos de contato desconectados.</w:t>
      </w:r>
    </w:p>
    <w:p>
      <w:pPr>
        <w:spacing w:after="140" w:before="280"/>
      </w:pPr>
      <w:r>
        <w:rPr>
          <w:b/>
          <w:bCs/>
          <w:sz w:val="26"/>
          <w:szCs w:val="26"/>
        </w:rPr>
        <w:t xml:space="preserve">O que essas três notícias têm em comum</w:t>
      </w:r>
    </w:p>
    <w:p>
      <w:pPr>
        <w:spacing w:after="160"/>
      </w:pPr>
      <w:r>
        <w:rPr>
          <w:sz w:val="22"/>
          <w:szCs w:val="22"/>
        </w:rPr>
        <w:t xml:space="preserve">Banco, congresso e fornecedor de software global — três contextos completamente diferentes chegando à mesma conclusão: a diferença competitiva em IA não está mais em ter a tecnologia, está em confiar nela o suficiente para deixá-la terminar o trabalho sozinha, com controle e responsabilidade. Isso vale tanto para o banco que mede ROI quanto para a plataforma de e-mail marketing que precisa provar que a mensagem certa chegou à pessoa certa na hora certa.</w:t>
      </w:r>
    </w:p>
    <w:p>
      <w:pPr>
        <w:spacing w:after="160"/>
      </w:pPr>
      <w:r>
        <w:rPr>
          <w:sz w:val="22"/>
          <w:szCs w:val="22"/>
        </w:rPr>
        <w:t xml:space="preserve">Ajudamos empresas a crescer com tecnologia, sem complicação — e é esse o ponto de partida da Aizon Tec para qualquer conversa sobre IA: entender primeiro o processo que sua empresa quer confiar a um agente, para só então desenhar a automação, o CRM ou o software que sustente essa confiança no dia a dia. Se sua empresa está no grupo que já testou IA mas ainda não sabe medir o retorno, ou no grupo que nem começou, fale com a Aizon Tec e descubra por onde começar com segurança.</w:t>
      </w:r>
    </w:p>
    <w:p>
      <w:pPr>
        <w:pBdr>
          <w:top w:val="single" w:color="CCCCCC" w:sz="4" w:space="4"/>
        </w:pBdr>
        <w:spacing w:after="100" w:before="320"/>
      </w:pPr>
      <w:r>
        <w:rPr>
          <w:b/>
          <w:bCs/>
          <w:sz w:val="22"/>
          <w:szCs w:val="22"/>
        </w:rPr>
        <w:t xml:space="preserve">Fontes e referências:</w:t>
      </w:r>
    </w:p>
    <w:p>
      <w:pPr>
        <w:spacing w:after="240"/>
      </w:pPr>
      <w:hyperlink w:history="1" r:id="rIdb5hrrbrifgs4oajpo_1e8">
        <w:r>
          <w:rPr>
            <w:rStyle w:val="Hyperlink"/>
            <w:sz w:val="22"/>
            <w:szCs w:val="22"/>
          </w:rPr>
          <w:t xml:space="preserve">https://www.aizontec.com/aizonews</w:t>
        </w:r>
      </w:hyperlink>
    </w:p>
    <w:p>
      <w:r>
        <w:rPr>
          <w:sz w:val="22"/>
          <w:szCs w:val="22"/>
        </w:rPr>
        <w:t xml:space="preserve">Por: Anny Caetano | Analista de Marketing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5hrrbrifgs4oajpo_1e8" Type="http://schemas.openxmlformats.org/officeDocument/2006/relationships/hyperlink" Target="https://www.aizontec.com/aizonew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2026-08-15T22:33:08.466Z</dcterms:created>
  <dcterms:modified xsi:type="dcterms:W3CDTF">2026-08-15T22:33:08.467Z</dcterms:modified>
</cp:coreProperties>
</file>

<file path=docProps/custom.xml><?xml version="1.0" encoding="utf-8"?>
<Properties xmlns="http://schemas.openxmlformats.org/officeDocument/2006/custom-properties" xmlns:vt="http://schemas.openxmlformats.org/officeDocument/2006/docPropsVTypes"/>
</file>