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6"/>
          <w:szCs w:val="26"/>
        </w:rPr>
        <w:t xml:space="preserve">Plano Operacional do Experimento — LAFIC/UFSC</w:t>
      </w:r>
    </w:p>
    <w:p>
      <w:pPr>
        <w:spacing w:after="200"/>
      </w:pPr>
      <w:r>
        <w:rPr>
          <w:i/>
          <w:iCs/>
          <w:sz w:val="20"/>
          <w:szCs w:val="20"/>
        </w:rPr>
        <w:t xml:space="preserve">Cultivo de macroalgas nativas na entressafra: coleta, montagem, execução e descarte</w:t>
      </w:r>
    </w:p>
    <w:p>
      <w:pPr>
        <w:pBdr>
          <w:left w:val="single" w:color="E8A33D" w:sz="18" w:space="8"/>
        </w:pBdr>
        <w:shd w:fill="FFF4E5" w:val="clear"/>
        <w:spacing w:after="240" w:before="100"/>
      </w:pPr>
      <w:r>
        <w:rPr>
          <w:b/>
          <w:bCs/>
          <w:color w:val="8A5B00"/>
          <w:sz w:val="20"/>
          <w:szCs w:val="20"/>
        </w:rPr>
        <w:t xml:space="preserve">Ponto de atenção: </w:t>
      </w:r>
      <w:r>
        <w:rPr>
          <w:color w:val="5A4200"/>
          <w:sz w:val="20"/>
          <w:szCs w:val="20"/>
        </w:rPr>
        <w:t xml:space="preserve">Este plano organiza logisticamente o que já está descrito no Capítulo 3 (delineamento, tratamentos, espécies). A parte de resíduos foi construída em cima do PGRS real do LAFIC (Plano de Gerenciamento de Resíduos Sólidos, v. preliminar de 01/06/2026) — os fluxos de descarte abaixo (saco vermelho, bombonas por compatibilidade, caixa amarela de perfurocortantes etc.) vêm diretamente desse documento, não são uma sugestão genérica minha.</w:t>
      </w:r>
    </w:p>
    <w:p>
      <w:pPr>
        <w:pStyle w:val="Heading1"/>
        <w:spacing w:after="150" w:before="300"/>
      </w:pPr>
      <w:r>
        <w:t xml:space="preserve">1. Pré-experimento</w:t>
      </w:r>
    </w:p>
    <w:p>
      <w:pPr>
        <w:pStyle w:val="Heading2"/>
        <w:spacing w:after="150" w:before="300"/>
      </w:pPr>
      <w:r>
        <w:t xml:space="preserve">1.1. Coleta das algas em campo</w:t>
      </w:r>
    </w:p>
    <w:p>
      <w:pPr>
        <w:spacing w:after="200"/>
      </w:pPr>
      <w:r>
        <w:t xml:space="preserve">As quatro espécies (Ulva spp., Gracilaria sp., Chondracanthus teedei e Petalonia fascia) devem ser coletadas na própria Baía Sul de Florianópolis, preferencialmente próximo ao local onde será conduzida a etapa in vivo (Ribeirão da Ilha), para reduzir o estresse de transporte e manter a representatividade genética da população local.</w:t>
      </w:r>
    </w:p>
    <w:p>
      <w:pPr>
        <w:spacing w:after="80"/>
      </w:pPr>
      <w:r>
        <w:t xml:space="preserve">• Selecionar talos saudáveis, sem sinais de necrose, epifitismo excessivo ou herbivoria.</w:t>
      </w:r>
    </w:p>
    <w:p>
      <w:pPr>
        <w:spacing w:after="80"/>
      </w:pPr>
      <w:r>
        <w:t xml:space="preserve">• Coletar em maré baixa, de preferência pela manhã, para reduzir a exposição térmica e luminosa dos talos fora d'água.</w:t>
      </w:r>
    </w:p>
    <w:p>
      <w:pPr>
        <w:spacing w:after="80"/>
      </w:pPr>
      <w:r>
        <w:t xml:space="preserve">• Para Chondracanthus teedei, priorizar indivíduos em fase gametofítica (produz kappa/iota) e tetrasporofítica (produz lambda) separadamente, já que a fase interessa à composição da carragenana — ver Seção 3.5.3 do Capítulo 3.</w:t>
      </w:r>
    </w:p>
    <w:p>
      <w:pPr>
        <w:spacing w:after="80"/>
      </w:pPr>
      <w:r>
        <w:t xml:space="preserve">• Para Petalonia fascia, a fase foliosa macroscópica de interesse ocorre no inverno — planejar a coleta considerando essa janela sazonal.</w:t>
      </w:r>
    </w:p>
    <w:p>
      <w:pPr>
        <w:spacing w:after="80"/>
      </w:pPr>
      <w:r>
        <w:t xml:space="preserve">• Registrar em ficha de campo: data, hora, local (coordenadas), maré, temperatura da água in situ, espécie, fase reprodutiva aparente e quantidade coletada.</w:t>
      </w:r>
    </w:p>
    <w:p>
      <w:pPr>
        <w:pStyle w:val="Heading3"/>
        <w:spacing w:after="150" w:before="300"/>
      </w:pPr>
      <w:r>
        <w:t xml:space="preserve">Materiais de campo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c>
          <w:tcPr>
            <w:tcW w:type="dxa" w:w="4500"/>
            <w:shd w:fill="D9D9D9" w:val="clear"/>
            <w:tcMar>
              <w:top w:type="dxa" w:w="80"/>
              <w:left w:type="dxa" w:w="100"/>
              <w:bottom w:type="dxa" w:w="80"/>
              <w:right w:type="dxa" w:w="100"/>
            </w:tcMar>
            <w:vAlign w:val="center"/>
          </w:tcPr>
          <w:p>
            <w:r>
              <w:rPr>
                <w:b/>
                <w:bCs/>
                <w:sz w:val="19"/>
                <w:szCs w:val="19"/>
              </w:rPr>
              <w:t xml:space="preserve">Item</w:t>
            </w:r>
          </w:p>
        </w:tc>
        <w:tc>
          <w:tcPr>
            <w:tcW w:type="dxa" w:w="4850"/>
            <w:shd w:fill="D9D9D9" w:val="clear"/>
            <w:tcMar>
              <w:top w:type="dxa" w:w="80"/>
              <w:left w:type="dxa" w:w="100"/>
              <w:bottom w:type="dxa" w:w="80"/>
              <w:right w:type="dxa" w:w="100"/>
            </w:tcMar>
            <w:vAlign w:val="center"/>
          </w:tcPr>
          <w:p>
            <w:r>
              <w:rPr>
                <w:b/>
                <w:bCs/>
                <w:sz w:val="19"/>
                <w:szCs w:val="19"/>
              </w:rPr>
              <w:t xml:space="preserve">Finalidade</w:t>
            </w:r>
          </w:p>
        </w:tc>
      </w:tr>
      <w:tr>
        <w:tc>
          <w:tcPr>
            <w:tcW w:type="dxa" w:w="4500"/>
            <w:tcMar>
              <w:top w:type="dxa" w:w="80"/>
              <w:left w:type="dxa" w:w="100"/>
              <w:bottom w:type="dxa" w:w="80"/>
              <w:right w:type="dxa" w:w="100"/>
            </w:tcMar>
            <w:vAlign w:val="center"/>
          </w:tcPr>
          <w:p>
            <w:r>
              <w:rPr>
                <w:b w:val="false"/>
                <w:bCs w:val="false"/>
                <w:sz w:val="19"/>
                <w:szCs w:val="19"/>
              </w:rPr>
              <w:t xml:space="preserve">Luvas de neoprene e calçado fechado</w:t>
            </w:r>
          </w:p>
        </w:tc>
        <w:tc>
          <w:tcPr>
            <w:tcW w:type="dxa" w:w="4850"/>
            <w:tcMar>
              <w:top w:type="dxa" w:w="80"/>
              <w:left w:type="dxa" w:w="100"/>
              <w:bottom w:type="dxa" w:w="80"/>
              <w:right w:type="dxa" w:w="100"/>
            </w:tcMar>
            <w:vAlign w:val="center"/>
          </w:tcPr>
          <w:p>
            <w:r>
              <w:rPr>
                <w:b w:val="false"/>
                <w:bCs w:val="false"/>
                <w:sz w:val="19"/>
                <w:szCs w:val="19"/>
              </w:rPr>
              <w:t xml:space="preserve">Proteção durante a coleta em costão/entremarés</w:t>
            </w:r>
          </w:p>
        </w:tc>
      </w:tr>
      <w:tr>
        <w:tc>
          <w:tcPr>
            <w:tcW w:type="dxa" w:w="4500"/>
            <w:tcMar>
              <w:top w:type="dxa" w:w="80"/>
              <w:left w:type="dxa" w:w="100"/>
              <w:bottom w:type="dxa" w:w="80"/>
              <w:right w:type="dxa" w:w="100"/>
            </w:tcMar>
            <w:vAlign w:val="center"/>
          </w:tcPr>
          <w:p>
            <w:r>
              <w:rPr>
                <w:b w:val="false"/>
                <w:bCs w:val="false"/>
                <w:sz w:val="19"/>
                <w:szCs w:val="19"/>
              </w:rPr>
              <w:t xml:space="preserve">Espátulas ou facas plásticas</w:t>
            </w:r>
          </w:p>
        </w:tc>
        <w:tc>
          <w:tcPr>
            <w:tcW w:type="dxa" w:w="4850"/>
            <w:tcMar>
              <w:top w:type="dxa" w:w="80"/>
              <w:left w:type="dxa" w:w="100"/>
              <w:bottom w:type="dxa" w:w="80"/>
              <w:right w:type="dxa" w:w="100"/>
            </w:tcMar>
            <w:vAlign w:val="center"/>
          </w:tcPr>
          <w:p>
            <w:r>
              <w:rPr>
                <w:b w:val="false"/>
                <w:bCs w:val="false"/>
                <w:sz w:val="19"/>
                <w:szCs w:val="19"/>
              </w:rPr>
              <w:t xml:space="preserve">Remoção cuidadosa do substrato sem danificar o talo</w:t>
            </w:r>
          </w:p>
        </w:tc>
      </w:tr>
      <w:tr>
        <w:tc>
          <w:tcPr>
            <w:tcW w:type="dxa" w:w="4500"/>
            <w:tcMar>
              <w:top w:type="dxa" w:w="80"/>
              <w:left w:type="dxa" w:w="100"/>
              <w:bottom w:type="dxa" w:w="80"/>
              <w:right w:type="dxa" w:w="100"/>
            </w:tcMar>
            <w:vAlign w:val="center"/>
          </w:tcPr>
          <w:p>
            <w:r>
              <w:rPr>
                <w:b w:val="false"/>
                <w:bCs w:val="false"/>
                <w:sz w:val="19"/>
                <w:szCs w:val="19"/>
              </w:rPr>
              <w:t xml:space="preserve">Sacos plásticos ou potes com água do local</w:t>
            </w:r>
          </w:p>
        </w:tc>
        <w:tc>
          <w:tcPr>
            <w:tcW w:type="dxa" w:w="4850"/>
            <w:tcMar>
              <w:top w:type="dxa" w:w="80"/>
              <w:left w:type="dxa" w:w="100"/>
              <w:bottom w:type="dxa" w:w="80"/>
              <w:right w:type="dxa" w:w="100"/>
            </w:tcMar>
            <w:vAlign w:val="center"/>
          </w:tcPr>
          <w:p>
            <w:r>
              <w:rPr>
                <w:b w:val="false"/>
                <w:bCs w:val="false"/>
                <w:sz w:val="19"/>
                <w:szCs w:val="19"/>
              </w:rPr>
              <w:t xml:space="preserve">Transporte dos espécimes mantendo umidade</w:t>
            </w:r>
          </w:p>
        </w:tc>
      </w:tr>
      <w:tr>
        <w:tc>
          <w:tcPr>
            <w:tcW w:type="dxa" w:w="4500"/>
            <w:tcMar>
              <w:top w:type="dxa" w:w="80"/>
              <w:left w:type="dxa" w:w="100"/>
              <w:bottom w:type="dxa" w:w="80"/>
              <w:right w:type="dxa" w:w="100"/>
            </w:tcMar>
            <w:vAlign w:val="center"/>
          </w:tcPr>
          <w:p>
            <w:r>
              <w:rPr>
                <w:b w:val="false"/>
                <w:bCs w:val="false"/>
                <w:sz w:val="19"/>
                <w:szCs w:val="19"/>
              </w:rPr>
              <w:t xml:space="preserve">Caixa térmica (isopor) com gelo reciclável</w:t>
            </w:r>
          </w:p>
        </w:tc>
        <w:tc>
          <w:tcPr>
            <w:tcW w:type="dxa" w:w="4850"/>
            <w:tcMar>
              <w:top w:type="dxa" w:w="80"/>
              <w:left w:type="dxa" w:w="100"/>
              <w:bottom w:type="dxa" w:w="80"/>
              <w:right w:type="dxa" w:w="100"/>
            </w:tcMar>
            <w:vAlign w:val="center"/>
          </w:tcPr>
          <w:p>
            <w:r>
              <w:rPr>
                <w:b w:val="false"/>
                <w:bCs w:val="false"/>
                <w:sz w:val="19"/>
                <w:szCs w:val="19"/>
              </w:rPr>
              <w:t xml:space="preserve">Manter temperatura baixa e estável durante o transporte até o LAFIC</w:t>
            </w:r>
          </w:p>
        </w:tc>
      </w:tr>
      <w:tr>
        <w:tc>
          <w:tcPr>
            <w:tcW w:type="dxa" w:w="4500"/>
            <w:tcMar>
              <w:top w:type="dxa" w:w="80"/>
              <w:left w:type="dxa" w:w="100"/>
              <w:bottom w:type="dxa" w:w="80"/>
              <w:right w:type="dxa" w:w="100"/>
            </w:tcMar>
            <w:vAlign w:val="center"/>
          </w:tcPr>
          <w:p>
            <w:r>
              <w:rPr>
                <w:b w:val="false"/>
                <w:bCs w:val="false"/>
                <w:sz w:val="19"/>
                <w:szCs w:val="19"/>
              </w:rPr>
              <w:t xml:space="preserve">GPS ou aplicativo de geolocalização</w:t>
            </w:r>
          </w:p>
        </w:tc>
        <w:tc>
          <w:tcPr>
            <w:tcW w:type="dxa" w:w="4850"/>
            <w:tcMar>
              <w:top w:type="dxa" w:w="80"/>
              <w:left w:type="dxa" w:w="100"/>
              <w:bottom w:type="dxa" w:w="80"/>
              <w:right w:type="dxa" w:w="100"/>
            </w:tcMar>
            <w:vAlign w:val="center"/>
          </w:tcPr>
          <w:p>
            <w:r>
              <w:rPr>
                <w:b w:val="false"/>
                <w:bCs w:val="false"/>
                <w:sz w:val="19"/>
                <w:szCs w:val="19"/>
              </w:rPr>
              <w:t xml:space="preserve">Registro do ponto exato de coleta</w:t>
            </w:r>
          </w:p>
        </w:tc>
      </w:tr>
      <w:tr>
        <w:tc>
          <w:tcPr>
            <w:tcW w:type="dxa" w:w="4500"/>
            <w:tcMar>
              <w:top w:type="dxa" w:w="80"/>
              <w:left w:type="dxa" w:w="100"/>
              <w:bottom w:type="dxa" w:w="80"/>
              <w:right w:type="dxa" w:w="100"/>
            </w:tcMar>
            <w:vAlign w:val="center"/>
          </w:tcPr>
          <w:p>
            <w:r>
              <w:rPr>
                <w:b w:val="false"/>
                <w:bCs w:val="false"/>
                <w:sz w:val="19"/>
                <w:szCs w:val="19"/>
              </w:rPr>
              <w:t xml:space="preserve">Ficha de campo (papel ou digital)</w:t>
            </w:r>
          </w:p>
        </w:tc>
        <w:tc>
          <w:tcPr>
            <w:tcW w:type="dxa" w:w="4850"/>
            <w:tcMar>
              <w:top w:type="dxa" w:w="80"/>
              <w:left w:type="dxa" w:w="100"/>
              <w:bottom w:type="dxa" w:w="80"/>
              <w:right w:type="dxa" w:w="100"/>
            </w:tcMar>
            <w:vAlign w:val="center"/>
          </w:tcPr>
          <w:p>
            <w:r>
              <w:rPr>
                <w:b w:val="false"/>
                <w:bCs w:val="false"/>
                <w:sz w:val="19"/>
                <w:szCs w:val="19"/>
              </w:rPr>
              <w:t xml:space="preserve">Registro padronizado dos dados de coleta</w:t>
            </w:r>
          </w:p>
        </w:tc>
      </w:tr>
      <w:tr>
        <w:tc>
          <w:tcPr>
            <w:tcW w:type="dxa" w:w="4500"/>
            <w:tcMar>
              <w:top w:type="dxa" w:w="80"/>
              <w:left w:type="dxa" w:w="100"/>
              <w:bottom w:type="dxa" w:w="80"/>
              <w:right w:type="dxa" w:w="100"/>
            </w:tcMar>
            <w:vAlign w:val="center"/>
          </w:tcPr>
          <w:p>
            <w:r>
              <w:rPr>
                <w:b w:val="false"/>
                <w:bCs w:val="false"/>
                <w:sz w:val="19"/>
                <w:szCs w:val="19"/>
              </w:rPr>
              <w:t xml:space="preserve">Câmera/celular</w:t>
            </w:r>
          </w:p>
        </w:tc>
        <w:tc>
          <w:tcPr>
            <w:tcW w:type="dxa" w:w="4850"/>
            <w:tcMar>
              <w:top w:type="dxa" w:w="80"/>
              <w:left w:type="dxa" w:w="100"/>
              <w:bottom w:type="dxa" w:w="80"/>
              <w:right w:type="dxa" w:w="100"/>
            </w:tcMar>
            <w:vAlign w:val="center"/>
          </w:tcPr>
          <w:p>
            <w:r>
              <w:rPr>
                <w:b w:val="false"/>
                <w:bCs w:val="false"/>
                <w:sz w:val="19"/>
                <w:szCs w:val="19"/>
              </w:rPr>
              <w:t xml:space="preserve">Registro fotográfico do talo e do local</w:t>
            </w:r>
          </w:p>
        </w:tc>
      </w:tr>
      <w:tr>
        <w:tc>
          <w:tcPr>
            <w:tcW w:type="dxa" w:w="4500"/>
            <w:tcMar>
              <w:top w:type="dxa" w:w="80"/>
              <w:left w:type="dxa" w:w="100"/>
              <w:bottom w:type="dxa" w:w="80"/>
              <w:right w:type="dxa" w:w="100"/>
            </w:tcMar>
            <w:vAlign w:val="center"/>
          </w:tcPr>
          <w:p>
            <w:r>
              <w:rPr>
                <w:b w:val="false"/>
                <w:bCs w:val="false"/>
                <w:sz w:val="19"/>
                <w:szCs w:val="19"/>
              </w:rPr>
              <w:t xml:space="preserve">Termômetro portátil</w:t>
            </w:r>
          </w:p>
        </w:tc>
        <w:tc>
          <w:tcPr>
            <w:tcW w:type="dxa" w:w="4850"/>
            <w:tcMar>
              <w:top w:type="dxa" w:w="80"/>
              <w:left w:type="dxa" w:w="100"/>
              <w:bottom w:type="dxa" w:w="80"/>
              <w:right w:type="dxa" w:w="100"/>
            </w:tcMar>
            <w:vAlign w:val="center"/>
          </w:tcPr>
          <w:p>
            <w:r>
              <w:rPr>
                <w:b w:val="false"/>
                <w:bCs w:val="false"/>
                <w:sz w:val="19"/>
                <w:szCs w:val="19"/>
              </w:rPr>
              <w:t xml:space="preserve">Temperatura da água in situ no momento da coleta</w:t>
            </w:r>
          </w:p>
        </w:tc>
      </w:tr>
    </w:tbl>
    <w:p>
      <w:pPr>
        <w:pStyle w:val="Heading2"/>
        <w:spacing w:after="150" w:before="300"/>
      </w:pPr>
      <w:r>
        <w:t xml:space="preserve">1.2. Preparação do espaço (Sala 1 e Sala 2)</w:t>
      </w:r>
    </w:p>
    <w:p>
      <w:pPr>
        <w:spacing w:after="80"/>
      </w:pPr>
      <w:r>
        <w:t xml:space="preserve">• Higienizar bancadas e prateleiras com álcool 70% antes da montagem (norma NB-1 do LAFIC).</w:t>
      </w:r>
    </w:p>
    <w:p>
      <w:pPr>
        <w:spacing w:after="80"/>
      </w:pPr>
      <w:r>
        <w:t xml:space="preserve">• Testar e calibrar os climatizadores: Sala 1 a 15 °C (fotoperíodo 10h luz/14h escuro); Sala 2 a 22 °C ambiente + banho-maria termostatizado a 28 °C com partição de fotoperíodo isolada (14h luz/10h escuro para o lado de verão).</w:t>
      </w:r>
    </w:p>
    <w:p>
      <w:pPr>
        <w:spacing w:after="80"/>
      </w:pPr>
      <w:r>
        <w:t xml:space="preserve">• Montar e testar o sistema de aeração (manifold central, mangueiras, bombas de ar) antes de inocular os frascos, verificando vazamentos e distribuição equilibrada de bolhas entre os 48 frascos.</w:t>
      </w:r>
    </w:p>
    <w:p>
      <w:pPr>
        <w:spacing w:after="80"/>
      </w:pPr>
      <w:r>
        <w:t xml:space="preserve">• Preparar o meio de cultura para as macroalgas (ex.: água do mar filtrada e enriquecida, meio von Stosch ou similar já em uso no LAFIC).</w:t>
      </w:r>
    </w:p>
    <w:p>
      <w:pPr>
        <w:spacing w:after="80"/>
      </w:pPr>
      <w:r>
        <w:t xml:space="preserve">• Etiquetar previamente os 48 frascos (4 espécies × 4 réplicas × 3 tratamentos) com código único, evitando confusão durante a inoculação.</w:t>
      </w:r>
    </w:p>
    <w:p>
      <w:pPr>
        <w:pBdr>
          <w:left w:val="single" w:color="E8A33D" w:sz="18" w:space="8"/>
        </w:pBdr>
        <w:shd w:fill="FFF4E5" w:val="clear"/>
        <w:spacing w:after="240" w:before="100"/>
      </w:pPr>
      <w:r>
        <w:rPr>
          <w:b/>
          <w:bCs/>
          <w:color w:val="8A5B00"/>
          <w:sz w:val="20"/>
          <w:szCs w:val="20"/>
        </w:rPr>
        <w:t xml:space="preserve">Ponto de atenção: </w:t>
      </w:r>
      <w:r>
        <w:rPr>
          <w:color w:val="5A4200"/>
          <w:sz w:val="20"/>
          <w:szCs w:val="20"/>
        </w:rPr>
        <w:t xml:space="preserve">O PGRS do LAFIC registra explicitamente a ausência de autoclave no laboratório. Isso afeta como a água do mar/meio de cultura será esterilizada antes do experimento — vale definir agora se será por filtração (membrana 0,22–0,45 µm), UV, ou fervura, já que autoclavagem não está disponível. Essa decisão também deve constar no Capítulo 3.</w:t>
      </w:r>
    </w:p>
    <w:p>
      <w:pPr>
        <w:pStyle w:val="Heading2"/>
        <w:spacing w:after="150" w:before="300"/>
      </w:pPr>
      <w:r>
        <w:t xml:space="preserve">1.3. Vidrarias necessárias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D9D9D9" w:val="clear"/>
            <w:tcMar>
              <w:top w:type="dxa" w:w="80"/>
              <w:left w:type="dxa" w:w="100"/>
              <w:bottom w:type="dxa" w:w="80"/>
              <w:right w:type="dxa" w:w="100"/>
            </w:tcMar>
            <w:vAlign w:val="center"/>
          </w:tcPr>
          <w:p>
            <w:r>
              <w:rPr>
                <w:b/>
                <w:bCs/>
                <w:sz w:val="19"/>
                <w:szCs w:val="19"/>
              </w:rPr>
              <w:t xml:space="preserve">Vidraria/Material</w:t>
            </w:r>
          </w:p>
        </w:tc>
        <w:tc>
          <w:tcPr>
            <w:tcW w:type="dxa" w:w="2400"/>
            <w:shd w:fill="D9D9D9" w:val="clear"/>
            <w:tcMar>
              <w:top w:type="dxa" w:w="80"/>
              <w:left w:type="dxa" w:w="100"/>
              <w:bottom w:type="dxa" w:w="80"/>
              <w:right w:type="dxa" w:w="100"/>
            </w:tcMar>
            <w:vAlign w:val="center"/>
          </w:tcPr>
          <w:p>
            <w:r>
              <w:rPr>
                <w:b/>
                <w:bCs/>
                <w:sz w:val="19"/>
                <w:szCs w:val="19"/>
              </w:rPr>
              <w:t xml:space="preserve">Quantidade estimada</w:t>
            </w:r>
          </w:p>
        </w:tc>
        <w:tc>
          <w:tcPr>
            <w:tcW w:type="dxa" w:w="3750"/>
            <w:shd w:fill="D9D9D9" w:val="clear"/>
            <w:tcMar>
              <w:top w:type="dxa" w:w="80"/>
              <w:left w:type="dxa" w:w="100"/>
              <w:bottom w:type="dxa" w:w="80"/>
              <w:right w:type="dxa" w:w="100"/>
            </w:tcMar>
            <w:vAlign w:val="center"/>
          </w:tcPr>
          <w:p>
            <w:r>
              <w:rPr>
                <w:b/>
                <w:bCs/>
                <w:sz w:val="19"/>
                <w:szCs w:val="19"/>
              </w:rPr>
              <w:t xml:space="preserve">Uso</w:t>
            </w:r>
          </w:p>
        </w:tc>
      </w:tr>
      <w:tr>
        <w:tc>
          <w:tcPr>
            <w:tcW w:type="dxa" w:w="3200"/>
            <w:tcMar>
              <w:top w:type="dxa" w:w="80"/>
              <w:left w:type="dxa" w:w="100"/>
              <w:bottom w:type="dxa" w:w="80"/>
              <w:right w:type="dxa" w:w="100"/>
            </w:tcMar>
            <w:vAlign w:val="center"/>
          </w:tcPr>
          <w:p>
            <w:r>
              <w:rPr>
                <w:b w:val="false"/>
                <w:bCs w:val="false"/>
                <w:sz w:val="19"/>
                <w:szCs w:val="19"/>
              </w:rPr>
              <w:t xml:space="preserve">Frascos Erlenmeyer (500–1000 mL)</w:t>
            </w:r>
          </w:p>
        </w:tc>
        <w:tc>
          <w:tcPr>
            <w:tcW w:type="dxa" w:w="2400"/>
            <w:tcMar>
              <w:top w:type="dxa" w:w="80"/>
              <w:left w:type="dxa" w:w="100"/>
              <w:bottom w:type="dxa" w:w="80"/>
              <w:right w:type="dxa" w:w="100"/>
            </w:tcMar>
            <w:vAlign w:val="center"/>
          </w:tcPr>
          <w:p>
            <w:r>
              <w:rPr>
                <w:b w:val="false"/>
                <w:bCs w:val="false"/>
                <w:sz w:val="19"/>
                <w:szCs w:val="19"/>
              </w:rPr>
              <w:t xml:space="preserve">48 + ~12 reserva</w:t>
            </w:r>
          </w:p>
        </w:tc>
        <w:tc>
          <w:tcPr>
            <w:tcW w:type="dxa" w:w="3750"/>
            <w:tcMar>
              <w:top w:type="dxa" w:w="80"/>
              <w:left w:type="dxa" w:w="100"/>
              <w:bottom w:type="dxa" w:w="80"/>
              <w:right w:type="dxa" w:w="100"/>
            </w:tcMar>
            <w:vAlign w:val="center"/>
          </w:tcPr>
          <w:p>
            <w:r>
              <w:rPr>
                <w:b w:val="false"/>
                <w:bCs w:val="false"/>
                <w:sz w:val="19"/>
                <w:szCs w:val="19"/>
              </w:rPr>
              <w:t xml:space="preserve">Unidades experimentais de cultivo</w:t>
            </w:r>
          </w:p>
        </w:tc>
      </w:tr>
      <w:tr>
        <w:tc>
          <w:tcPr>
            <w:tcW w:type="dxa" w:w="3200"/>
            <w:tcMar>
              <w:top w:type="dxa" w:w="80"/>
              <w:left w:type="dxa" w:w="100"/>
              <w:bottom w:type="dxa" w:w="80"/>
              <w:right w:type="dxa" w:w="100"/>
            </w:tcMar>
            <w:vAlign w:val="center"/>
          </w:tcPr>
          <w:p>
            <w:r>
              <w:rPr>
                <w:b w:val="false"/>
                <w:bCs w:val="false"/>
                <w:sz w:val="19"/>
                <w:szCs w:val="19"/>
              </w:rPr>
              <w:t xml:space="preserve">Provetas graduadas</w:t>
            </w:r>
          </w:p>
        </w:tc>
        <w:tc>
          <w:tcPr>
            <w:tcW w:type="dxa" w:w="2400"/>
            <w:tcMar>
              <w:top w:type="dxa" w:w="80"/>
              <w:left w:type="dxa" w:w="100"/>
              <w:bottom w:type="dxa" w:w="80"/>
              <w:right w:type="dxa" w:w="100"/>
            </w:tcMar>
            <w:vAlign w:val="center"/>
          </w:tcPr>
          <w:p>
            <w:r>
              <w:rPr>
                <w:b w:val="false"/>
                <w:bCs w:val="false"/>
                <w:sz w:val="19"/>
                <w:szCs w:val="19"/>
              </w:rPr>
              <w:t xml:space="preserve">2–3</w:t>
            </w:r>
          </w:p>
        </w:tc>
        <w:tc>
          <w:tcPr>
            <w:tcW w:type="dxa" w:w="3750"/>
            <w:tcMar>
              <w:top w:type="dxa" w:w="80"/>
              <w:left w:type="dxa" w:w="100"/>
              <w:bottom w:type="dxa" w:w="80"/>
              <w:right w:type="dxa" w:w="100"/>
            </w:tcMar>
            <w:vAlign w:val="center"/>
          </w:tcPr>
          <w:p>
            <w:r>
              <w:rPr>
                <w:b w:val="false"/>
                <w:bCs w:val="false"/>
                <w:sz w:val="19"/>
                <w:szCs w:val="19"/>
              </w:rPr>
              <w:t xml:space="preserve">Medição de volume de meio de cultura</w:t>
            </w:r>
          </w:p>
        </w:tc>
      </w:tr>
      <w:tr>
        <w:tc>
          <w:tcPr>
            <w:tcW w:type="dxa" w:w="3200"/>
            <w:tcMar>
              <w:top w:type="dxa" w:w="80"/>
              <w:left w:type="dxa" w:w="100"/>
              <w:bottom w:type="dxa" w:w="80"/>
              <w:right w:type="dxa" w:w="100"/>
            </w:tcMar>
            <w:vAlign w:val="center"/>
          </w:tcPr>
          <w:p>
            <w:r>
              <w:rPr>
                <w:b w:val="false"/>
                <w:bCs w:val="false"/>
                <w:sz w:val="19"/>
                <w:szCs w:val="19"/>
              </w:rPr>
              <w:t xml:space="preserve">Béqueres (diversos volumes)</w:t>
            </w:r>
          </w:p>
        </w:tc>
        <w:tc>
          <w:tcPr>
            <w:tcW w:type="dxa" w:w="2400"/>
            <w:tcMar>
              <w:top w:type="dxa" w:w="80"/>
              <w:left w:type="dxa" w:w="100"/>
              <w:bottom w:type="dxa" w:w="80"/>
              <w:right w:type="dxa" w:w="100"/>
            </w:tcMar>
            <w:vAlign w:val="center"/>
          </w:tcPr>
          <w:p>
            <w:r>
              <w:rPr>
                <w:b w:val="false"/>
                <w:bCs w:val="false"/>
                <w:sz w:val="19"/>
                <w:szCs w:val="19"/>
              </w:rPr>
              <w:t xml:space="preserve">6–8</w:t>
            </w:r>
          </w:p>
        </w:tc>
        <w:tc>
          <w:tcPr>
            <w:tcW w:type="dxa" w:w="3750"/>
            <w:tcMar>
              <w:top w:type="dxa" w:w="80"/>
              <w:left w:type="dxa" w:w="100"/>
              <w:bottom w:type="dxa" w:w="80"/>
              <w:right w:type="dxa" w:w="100"/>
            </w:tcMar>
            <w:vAlign w:val="center"/>
          </w:tcPr>
          <w:p>
            <w:r>
              <w:rPr>
                <w:b w:val="false"/>
                <w:bCs w:val="false"/>
                <w:sz w:val="19"/>
                <w:szCs w:val="19"/>
              </w:rPr>
              <w:t xml:space="preserve">Preparo de soluções e meio de cultura</w:t>
            </w:r>
          </w:p>
        </w:tc>
      </w:tr>
      <w:tr>
        <w:tc>
          <w:tcPr>
            <w:tcW w:type="dxa" w:w="3200"/>
            <w:tcMar>
              <w:top w:type="dxa" w:w="80"/>
              <w:left w:type="dxa" w:w="100"/>
              <w:bottom w:type="dxa" w:w="80"/>
              <w:right w:type="dxa" w:w="100"/>
            </w:tcMar>
            <w:vAlign w:val="center"/>
          </w:tcPr>
          <w:p>
            <w:r>
              <w:rPr>
                <w:b w:val="false"/>
                <w:bCs w:val="false"/>
                <w:sz w:val="19"/>
                <w:szCs w:val="19"/>
              </w:rPr>
              <w:t xml:space="preserve">Pipetas volumétricas/Pasteur</w:t>
            </w:r>
          </w:p>
        </w:tc>
        <w:tc>
          <w:tcPr>
            <w:tcW w:type="dxa" w:w="2400"/>
            <w:tcMar>
              <w:top w:type="dxa" w:w="80"/>
              <w:left w:type="dxa" w:w="100"/>
              <w:bottom w:type="dxa" w:w="80"/>
              <w:right w:type="dxa" w:w="100"/>
            </w:tcMar>
            <w:vAlign w:val="center"/>
          </w:tcPr>
          <w:p>
            <w:r>
              <w:rPr>
                <w:b w:val="false"/>
                <w:bCs w:val="false"/>
                <w:sz w:val="19"/>
                <w:szCs w:val="19"/>
              </w:rPr>
              <w:t xml:space="preserve">conforme uso diário</w:t>
            </w:r>
          </w:p>
        </w:tc>
        <w:tc>
          <w:tcPr>
            <w:tcW w:type="dxa" w:w="3750"/>
            <w:tcMar>
              <w:top w:type="dxa" w:w="80"/>
              <w:left w:type="dxa" w:w="100"/>
              <w:bottom w:type="dxa" w:w="80"/>
              <w:right w:type="dxa" w:w="100"/>
            </w:tcMar>
            <w:vAlign w:val="center"/>
          </w:tcPr>
          <w:p>
            <w:r>
              <w:rPr>
                <w:b w:val="false"/>
                <w:bCs w:val="false"/>
                <w:sz w:val="19"/>
                <w:szCs w:val="19"/>
              </w:rPr>
              <w:t xml:space="preserve">Transferência de volumes pequenos, amostragem</w:t>
            </w:r>
          </w:p>
        </w:tc>
      </w:tr>
      <w:tr>
        <w:tc>
          <w:tcPr>
            <w:tcW w:type="dxa" w:w="3200"/>
            <w:tcMar>
              <w:top w:type="dxa" w:w="80"/>
              <w:left w:type="dxa" w:w="100"/>
              <w:bottom w:type="dxa" w:w="80"/>
              <w:right w:type="dxa" w:w="100"/>
            </w:tcMar>
            <w:vAlign w:val="center"/>
          </w:tcPr>
          <w:p>
            <w:r>
              <w:rPr>
                <w:b w:val="false"/>
                <w:bCs w:val="false"/>
                <w:sz w:val="19"/>
                <w:szCs w:val="19"/>
              </w:rPr>
              <w:t xml:space="preserve">Placas de Petri</w:t>
            </w:r>
          </w:p>
        </w:tc>
        <w:tc>
          <w:tcPr>
            <w:tcW w:type="dxa" w:w="2400"/>
            <w:tcMar>
              <w:top w:type="dxa" w:w="80"/>
              <w:left w:type="dxa" w:w="100"/>
              <w:bottom w:type="dxa" w:w="80"/>
              <w:right w:type="dxa" w:w="100"/>
            </w:tcMar>
            <w:vAlign w:val="center"/>
          </w:tcPr>
          <w:p>
            <w:r>
              <w:rPr>
                <w:b w:val="false"/>
                <w:bCs w:val="false"/>
                <w:sz w:val="19"/>
                <w:szCs w:val="19"/>
              </w:rPr>
              <w:t xml:space="preserve">8–10</w:t>
            </w:r>
          </w:p>
        </w:tc>
        <w:tc>
          <w:tcPr>
            <w:tcW w:type="dxa" w:w="3750"/>
            <w:tcMar>
              <w:top w:type="dxa" w:w="80"/>
              <w:left w:type="dxa" w:w="100"/>
              <w:bottom w:type="dxa" w:w="80"/>
              <w:right w:type="dxa" w:w="100"/>
            </w:tcMar>
            <w:vAlign w:val="center"/>
          </w:tcPr>
          <w:p>
            <w:r>
              <w:rPr>
                <w:b w:val="false"/>
                <w:bCs w:val="false"/>
                <w:sz w:val="19"/>
                <w:szCs w:val="19"/>
              </w:rPr>
              <w:t xml:space="preserve">Observação e triagem de talos sob lupa/microscópio</w:t>
            </w:r>
          </w:p>
        </w:tc>
      </w:tr>
      <w:tr>
        <w:tc>
          <w:tcPr>
            <w:tcW w:type="dxa" w:w="3200"/>
            <w:tcMar>
              <w:top w:type="dxa" w:w="80"/>
              <w:left w:type="dxa" w:w="100"/>
              <w:bottom w:type="dxa" w:w="80"/>
              <w:right w:type="dxa" w:w="100"/>
            </w:tcMar>
            <w:vAlign w:val="center"/>
          </w:tcPr>
          <w:p>
            <w:r>
              <w:rPr>
                <w:b w:val="false"/>
                <w:bCs w:val="false"/>
                <w:sz w:val="19"/>
                <w:szCs w:val="19"/>
              </w:rPr>
              <w:t xml:space="preserve">Lâminas e lamínulas</w:t>
            </w:r>
          </w:p>
        </w:tc>
        <w:tc>
          <w:tcPr>
            <w:tcW w:type="dxa" w:w="2400"/>
            <w:tcMar>
              <w:top w:type="dxa" w:w="80"/>
              <w:left w:type="dxa" w:w="100"/>
              <w:bottom w:type="dxa" w:w="80"/>
              <w:right w:type="dxa" w:w="100"/>
            </w:tcMar>
            <w:vAlign w:val="center"/>
          </w:tcPr>
          <w:p>
            <w:r>
              <w:rPr>
                <w:b w:val="false"/>
                <w:bCs w:val="false"/>
                <w:sz w:val="19"/>
                <w:szCs w:val="19"/>
              </w:rPr>
              <w:t xml:space="preserve">conforme análises</w:t>
            </w:r>
          </w:p>
        </w:tc>
        <w:tc>
          <w:tcPr>
            <w:tcW w:type="dxa" w:w="3750"/>
            <w:tcMar>
              <w:top w:type="dxa" w:w="80"/>
              <w:left w:type="dxa" w:w="100"/>
              <w:bottom w:type="dxa" w:w="80"/>
              <w:right w:type="dxa" w:w="100"/>
            </w:tcMar>
            <w:vAlign w:val="center"/>
          </w:tcPr>
          <w:p>
            <w:r>
              <w:rPr>
                <w:b w:val="false"/>
                <w:bCs w:val="false"/>
                <w:sz w:val="19"/>
                <w:szCs w:val="19"/>
              </w:rPr>
              <w:t xml:space="preserve">Microscopia para identificação de fases reprodutivas</w:t>
            </w:r>
          </w:p>
        </w:tc>
      </w:tr>
      <w:tr>
        <w:tc>
          <w:tcPr>
            <w:tcW w:type="dxa" w:w="3200"/>
            <w:tcMar>
              <w:top w:type="dxa" w:w="80"/>
              <w:left w:type="dxa" w:w="100"/>
              <w:bottom w:type="dxa" w:w="80"/>
              <w:right w:type="dxa" w:w="100"/>
            </w:tcMar>
            <w:vAlign w:val="center"/>
          </w:tcPr>
          <w:p>
            <w:r>
              <w:rPr>
                <w:b w:val="false"/>
                <w:bCs w:val="false"/>
                <w:sz w:val="19"/>
                <w:szCs w:val="19"/>
              </w:rPr>
              <w:t xml:space="preserve">Frascos âmbar</w:t>
            </w:r>
          </w:p>
        </w:tc>
        <w:tc>
          <w:tcPr>
            <w:tcW w:type="dxa" w:w="2400"/>
            <w:tcMar>
              <w:top w:type="dxa" w:w="80"/>
              <w:left w:type="dxa" w:w="100"/>
              <w:bottom w:type="dxa" w:w="80"/>
              <w:right w:type="dxa" w:w="100"/>
            </w:tcMar>
            <w:vAlign w:val="center"/>
          </w:tcPr>
          <w:p>
            <w:r>
              <w:rPr>
                <w:b w:val="false"/>
                <w:bCs w:val="false"/>
                <w:sz w:val="19"/>
                <w:szCs w:val="19"/>
              </w:rPr>
              <w:t xml:space="preserve">4–6</w:t>
            </w:r>
          </w:p>
        </w:tc>
        <w:tc>
          <w:tcPr>
            <w:tcW w:type="dxa" w:w="3750"/>
            <w:tcMar>
              <w:top w:type="dxa" w:w="80"/>
              <w:left w:type="dxa" w:w="100"/>
              <w:bottom w:type="dxa" w:w="80"/>
              <w:right w:type="dxa" w:w="100"/>
            </w:tcMar>
            <w:vAlign w:val="center"/>
          </w:tcPr>
          <w:p>
            <w:r>
              <w:rPr>
                <w:b w:val="false"/>
                <w:bCs w:val="false"/>
                <w:sz w:val="19"/>
                <w:szCs w:val="19"/>
              </w:rPr>
              <w:t xml:space="preserve">Armazenamento de extratos de pigmentos, protegidos da luz</w:t>
            </w:r>
          </w:p>
        </w:tc>
      </w:tr>
    </w:tbl>
    <w:p>
      <w:pPr>
        <w:pStyle w:val="Heading2"/>
        <w:spacing w:after="150" w:before="300"/>
      </w:pPr>
      <w:r>
        <w:t xml:space="preserve">1.4. Equipamentos necessários (coleta de dados)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50"/>
      </w:tblGrid>
      <w:tr>
        <w:tc>
          <w:tcPr>
            <w:tcW w:type="dxa" w:w="3000"/>
            <w:shd w:fill="D9D9D9" w:val="clear"/>
            <w:tcMar>
              <w:top w:type="dxa" w:w="80"/>
              <w:left w:type="dxa" w:w="100"/>
              <w:bottom w:type="dxa" w:w="80"/>
              <w:right w:type="dxa" w:w="100"/>
            </w:tcMar>
            <w:vAlign w:val="center"/>
          </w:tcPr>
          <w:p>
            <w:r>
              <w:rPr>
                <w:b/>
                <w:bCs/>
                <w:sz w:val="19"/>
                <w:szCs w:val="19"/>
              </w:rPr>
              <w:t xml:space="preserve">Equipamento</w:t>
            </w:r>
          </w:p>
        </w:tc>
        <w:tc>
          <w:tcPr>
            <w:tcW w:type="dxa" w:w="3800"/>
            <w:shd w:fill="D9D9D9" w:val="clear"/>
            <w:tcMar>
              <w:top w:type="dxa" w:w="80"/>
              <w:left w:type="dxa" w:w="100"/>
              <w:bottom w:type="dxa" w:w="80"/>
              <w:right w:type="dxa" w:w="100"/>
            </w:tcMar>
            <w:vAlign w:val="center"/>
          </w:tcPr>
          <w:p>
            <w:r>
              <w:rPr>
                <w:b/>
                <w:bCs/>
                <w:sz w:val="19"/>
                <w:szCs w:val="19"/>
              </w:rPr>
              <w:t xml:space="preserve">Parâmetro medido</w:t>
            </w:r>
          </w:p>
        </w:tc>
        <w:tc>
          <w:tcPr>
            <w:tcW w:type="dxa" w:w="2550"/>
            <w:shd w:fill="D9D9D9" w:val="clear"/>
            <w:tcMar>
              <w:top w:type="dxa" w:w="80"/>
              <w:left w:type="dxa" w:w="100"/>
              <w:bottom w:type="dxa" w:w="80"/>
              <w:right w:type="dxa" w:w="100"/>
            </w:tcMar>
            <w:vAlign w:val="center"/>
          </w:tcPr>
          <w:p>
            <w:r>
              <w:rPr>
                <w:b/>
                <w:bCs/>
                <w:sz w:val="19"/>
                <w:szCs w:val="19"/>
              </w:rPr>
              <w:t xml:space="preserve">Frequência sugerida</w:t>
            </w:r>
          </w:p>
        </w:tc>
      </w:tr>
      <w:tr>
        <w:tc>
          <w:tcPr>
            <w:tcW w:type="dxa" w:w="3000"/>
            <w:tcMar>
              <w:top w:type="dxa" w:w="80"/>
              <w:left w:type="dxa" w:w="100"/>
              <w:bottom w:type="dxa" w:w="80"/>
              <w:right w:type="dxa" w:w="100"/>
            </w:tcMar>
            <w:vAlign w:val="center"/>
          </w:tcPr>
          <w:p>
            <w:r>
              <w:rPr>
                <w:b w:val="false"/>
                <w:bCs w:val="false"/>
                <w:sz w:val="19"/>
                <w:szCs w:val="19"/>
              </w:rPr>
              <w:t xml:space="preserve">Balança de precisão (0,01 g)</w:t>
            </w:r>
          </w:p>
        </w:tc>
        <w:tc>
          <w:tcPr>
            <w:tcW w:type="dxa" w:w="3800"/>
            <w:tcMar>
              <w:top w:type="dxa" w:w="80"/>
              <w:left w:type="dxa" w:w="100"/>
              <w:bottom w:type="dxa" w:w="80"/>
              <w:right w:type="dxa" w:w="100"/>
            </w:tcMar>
            <w:vAlign w:val="center"/>
          </w:tcPr>
          <w:p>
            <w:r>
              <w:rPr>
                <w:b w:val="false"/>
                <w:bCs w:val="false"/>
                <w:sz w:val="19"/>
                <w:szCs w:val="19"/>
              </w:rPr>
              <w:t xml:space="preserve">Peso úmido — Taxa de Crescimento Específico (TCE)</w:t>
            </w:r>
          </w:p>
        </w:tc>
        <w:tc>
          <w:tcPr>
            <w:tcW w:type="dxa" w:w="2550"/>
            <w:tcMar>
              <w:top w:type="dxa" w:w="80"/>
              <w:left w:type="dxa" w:w="100"/>
              <w:bottom w:type="dxa" w:w="80"/>
              <w:right w:type="dxa" w:w="100"/>
            </w:tcMar>
            <w:vAlign w:val="center"/>
          </w:tcPr>
          <w:p>
            <w:r>
              <w:rPr>
                <w:b w:val="false"/>
                <w:bCs w:val="false"/>
                <w:sz w:val="19"/>
                <w:szCs w:val="19"/>
              </w:rPr>
              <w:t xml:space="preserve">A cada 7 dias</w:t>
            </w:r>
          </w:p>
        </w:tc>
      </w:tr>
      <w:tr>
        <w:tc>
          <w:tcPr>
            <w:tcW w:type="dxa" w:w="3000"/>
            <w:tcMar>
              <w:top w:type="dxa" w:w="80"/>
              <w:left w:type="dxa" w:w="100"/>
              <w:bottom w:type="dxa" w:w="80"/>
              <w:right w:type="dxa" w:w="100"/>
            </w:tcMar>
            <w:vAlign w:val="center"/>
          </w:tcPr>
          <w:p>
            <w:r>
              <w:rPr>
                <w:b w:val="false"/>
                <w:bCs w:val="false"/>
                <w:sz w:val="19"/>
                <w:szCs w:val="19"/>
              </w:rPr>
              <w:t xml:space="preserve">Fluorômetro PAM</w:t>
            </w:r>
          </w:p>
        </w:tc>
        <w:tc>
          <w:tcPr>
            <w:tcW w:type="dxa" w:w="3800"/>
            <w:tcMar>
              <w:top w:type="dxa" w:w="80"/>
              <w:left w:type="dxa" w:w="100"/>
              <w:bottom w:type="dxa" w:w="80"/>
              <w:right w:type="dxa" w:w="100"/>
            </w:tcMar>
            <w:vAlign w:val="center"/>
          </w:tcPr>
          <w:p>
            <w:r>
              <w:rPr>
                <w:b w:val="false"/>
                <w:bCs w:val="false"/>
                <w:sz w:val="19"/>
                <w:szCs w:val="19"/>
              </w:rPr>
              <w:t xml:space="preserve">Rendimento quântico máximo (Fv/Fm) — estresse fotossintético</w:t>
            </w:r>
          </w:p>
        </w:tc>
        <w:tc>
          <w:tcPr>
            <w:tcW w:type="dxa" w:w="2550"/>
            <w:tcMar>
              <w:top w:type="dxa" w:w="80"/>
              <w:left w:type="dxa" w:w="100"/>
              <w:bottom w:type="dxa" w:w="80"/>
              <w:right w:type="dxa" w:w="100"/>
            </w:tcMar>
            <w:vAlign w:val="center"/>
          </w:tcPr>
          <w:p>
            <w:r>
              <w:rPr>
                <w:b w:val="false"/>
                <w:bCs w:val="false"/>
                <w:sz w:val="19"/>
                <w:szCs w:val="19"/>
              </w:rPr>
              <w:t xml:space="preserve">Semanal (ou conforme protocolo do LAFIC)</w:t>
            </w:r>
          </w:p>
        </w:tc>
      </w:tr>
      <w:tr>
        <w:tc>
          <w:tcPr>
            <w:tcW w:type="dxa" w:w="3000"/>
            <w:tcMar>
              <w:top w:type="dxa" w:w="80"/>
              <w:left w:type="dxa" w:w="100"/>
              <w:bottom w:type="dxa" w:w="80"/>
              <w:right w:type="dxa" w:w="100"/>
            </w:tcMar>
            <w:vAlign w:val="center"/>
          </w:tcPr>
          <w:p>
            <w:r>
              <w:rPr>
                <w:b w:val="false"/>
                <w:bCs w:val="false"/>
                <w:sz w:val="19"/>
                <w:szCs w:val="19"/>
              </w:rPr>
              <w:t xml:space="preserve">Espectrofotômetro</w:t>
            </w:r>
          </w:p>
        </w:tc>
        <w:tc>
          <w:tcPr>
            <w:tcW w:type="dxa" w:w="3800"/>
            <w:tcMar>
              <w:top w:type="dxa" w:w="80"/>
              <w:left w:type="dxa" w:w="100"/>
              <w:bottom w:type="dxa" w:w="80"/>
              <w:right w:type="dxa" w:w="100"/>
            </w:tcMar>
            <w:vAlign w:val="center"/>
          </w:tcPr>
          <w:p>
            <w:r>
              <w:rPr>
                <w:b w:val="false"/>
                <w:bCs w:val="false"/>
                <w:sz w:val="19"/>
                <w:szCs w:val="19"/>
              </w:rPr>
              <w:t xml:space="preserve">Teor de Clorofila-a e pigmentos acessórios</w:t>
            </w:r>
          </w:p>
        </w:tc>
        <w:tc>
          <w:tcPr>
            <w:tcW w:type="dxa" w:w="2550"/>
            <w:tcMar>
              <w:top w:type="dxa" w:w="80"/>
              <w:left w:type="dxa" w:w="100"/>
              <w:bottom w:type="dxa" w:w="80"/>
              <w:right w:type="dxa" w:w="100"/>
            </w:tcMar>
            <w:vAlign w:val="center"/>
          </w:tcPr>
          <w:p>
            <w:r>
              <w:rPr>
                <w:b w:val="false"/>
                <w:bCs w:val="false"/>
                <w:sz w:val="19"/>
                <w:szCs w:val="19"/>
              </w:rPr>
              <w:t xml:space="preserve">Amostragem destrutiva pontual (definir se intermediária e/ou final)</w:t>
            </w:r>
          </w:p>
        </w:tc>
      </w:tr>
      <w:tr>
        <w:tc>
          <w:tcPr>
            <w:tcW w:type="dxa" w:w="3000"/>
            <w:tcMar>
              <w:top w:type="dxa" w:w="80"/>
              <w:left w:type="dxa" w:w="100"/>
              <w:bottom w:type="dxa" w:w="80"/>
              <w:right w:type="dxa" w:w="100"/>
            </w:tcMar>
            <w:vAlign w:val="center"/>
          </w:tcPr>
          <w:p>
            <w:r>
              <w:rPr>
                <w:b w:val="false"/>
                <w:bCs w:val="false"/>
                <w:sz w:val="19"/>
                <w:szCs w:val="19"/>
              </w:rPr>
              <w:t xml:space="preserve">Termômetro digital/datalogger</w:t>
            </w:r>
          </w:p>
        </w:tc>
        <w:tc>
          <w:tcPr>
            <w:tcW w:type="dxa" w:w="3800"/>
            <w:tcMar>
              <w:top w:type="dxa" w:w="80"/>
              <w:left w:type="dxa" w:w="100"/>
              <w:bottom w:type="dxa" w:w="80"/>
              <w:right w:type="dxa" w:w="100"/>
            </w:tcMar>
            <w:vAlign w:val="center"/>
          </w:tcPr>
          <w:p>
            <w:r>
              <w:rPr>
                <w:b w:val="false"/>
                <w:bCs w:val="false"/>
                <w:sz w:val="19"/>
                <w:szCs w:val="19"/>
              </w:rPr>
              <w:t xml:space="preserve">Temperatura da água nos frascos e do ar ambiente</w:t>
            </w:r>
          </w:p>
        </w:tc>
        <w:tc>
          <w:tcPr>
            <w:tcW w:type="dxa" w:w="2550"/>
            <w:tcMar>
              <w:top w:type="dxa" w:w="80"/>
              <w:left w:type="dxa" w:w="100"/>
              <w:bottom w:type="dxa" w:w="80"/>
              <w:right w:type="dxa" w:w="100"/>
            </w:tcMar>
            <w:vAlign w:val="center"/>
          </w:tcPr>
          <w:p>
            <w:r>
              <w:rPr>
                <w:b w:val="false"/>
                <w:bCs w:val="false"/>
                <w:sz w:val="19"/>
                <w:szCs w:val="19"/>
              </w:rPr>
              <w:t xml:space="preserve">Contínuo ou diário</w:t>
            </w:r>
          </w:p>
        </w:tc>
      </w:tr>
      <w:tr>
        <w:tc>
          <w:tcPr>
            <w:tcW w:type="dxa" w:w="3000"/>
            <w:tcMar>
              <w:top w:type="dxa" w:w="80"/>
              <w:left w:type="dxa" w:w="100"/>
              <w:bottom w:type="dxa" w:w="80"/>
              <w:right w:type="dxa" w:w="100"/>
            </w:tcMar>
            <w:vAlign w:val="center"/>
          </w:tcPr>
          <w:p>
            <w:r>
              <w:rPr>
                <w:b w:val="false"/>
                <w:bCs w:val="false"/>
                <w:sz w:val="19"/>
                <w:szCs w:val="19"/>
              </w:rPr>
              <w:t xml:space="preserve">Refratômetro</w:t>
            </w:r>
          </w:p>
        </w:tc>
        <w:tc>
          <w:tcPr>
            <w:tcW w:type="dxa" w:w="3800"/>
            <w:tcMar>
              <w:top w:type="dxa" w:w="80"/>
              <w:left w:type="dxa" w:w="100"/>
              <w:bottom w:type="dxa" w:w="80"/>
              <w:right w:type="dxa" w:w="100"/>
            </w:tcMar>
            <w:vAlign w:val="center"/>
          </w:tcPr>
          <w:p>
            <w:r>
              <w:rPr>
                <w:b w:val="false"/>
                <w:bCs w:val="false"/>
                <w:sz w:val="19"/>
                <w:szCs w:val="19"/>
              </w:rPr>
              <w:t xml:space="preserve">Salinidade do meio de cultura</w:t>
            </w:r>
          </w:p>
        </w:tc>
        <w:tc>
          <w:tcPr>
            <w:tcW w:type="dxa" w:w="2550"/>
            <w:tcMar>
              <w:top w:type="dxa" w:w="80"/>
              <w:left w:type="dxa" w:w="100"/>
              <w:bottom w:type="dxa" w:w="80"/>
              <w:right w:type="dxa" w:w="100"/>
            </w:tcMar>
            <w:vAlign w:val="center"/>
          </w:tcPr>
          <w:p>
            <w:r>
              <w:rPr>
                <w:b w:val="false"/>
                <w:bCs w:val="false"/>
                <w:sz w:val="19"/>
                <w:szCs w:val="19"/>
              </w:rPr>
              <w:t xml:space="preserve">Semanal, a cada troca de água</w:t>
            </w:r>
          </w:p>
        </w:tc>
      </w:tr>
      <w:tr>
        <w:tc>
          <w:tcPr>
            <w:tcW w:type="dxa" w:w="3000"/>
            <w:tcMar>
              <w:top w:type="dxa" w:w="80"/>
              <w:left w:type="dxa" w:w="100"/>
              <w:bottom w:type="dxa" w:w="80"/>
              <w:right w:type="dxa" w:w="100"/>
            </w:tcMar>
            <w:vAlign w:val="center"/>
          </w:tcPr>
          <w:p>
            <w:r>
              <w:rPr>
                <w:b w:val="false"/>
                <w:bCs w:val="false"/>
                <w:sz w:val="19"/>
                <w:szCs w:val="19"/>
              </w:rPr>
              <w:t xml:space="preserve">Microscópio óptico</w:t>
            </w:r>
          </w:p>
        </w:tc>
        <w:tc>
          <w:tcPr>
            <w:tcW w:type="dxa" w:w="3800"/>
            <w:tcMar>
              <w:top w:type="dxa" w:w="80"/>
              <w:left w:type="dxa" w:w="100"/>
              <w:bottom w:type="dxa" w:w="80"/>
              <w:right w:type="dxa" w:w="100"/>
            </w:tcMar>
            <w:vAlign w:val="center"/>
          </w:tcPr>
          <w:p>
            <w:r>
              <w:rPr>
                <w:b w:val="false"/>
                <w:bCs w:val="false"/>
                <w:sz w:val="19"/>
                <w:szCs w:val="19"/>
              </w:rPr>
              <w:t xml:space="preserve">Confirmação de fase reprodutiva, contaminação</w:t>
            </w:r>
          </w:p>
        </w:tc>
        <w:tc>
          <w:tcPr>
            <w:tcW w:type="dxa" w:w="2550"/>
            <w:tcMar>
              <w:top w:type="dxa" w:w="80"/>
              <w:left w:type="dxa" w:w="100"/>
              <w:bottom w:type="dxa" w:w="80"/>
              <w:right w:type="dxa" w:w="100"/>
            </w:tcMar>
            <w:vAlign w:val="center"/>
          </w:tcPr>
          <w:p>
            <w:r>
              <w:rPr>
                <w:b w:val="false"/>
                <w:bCs w:val="false"/>
                <w:sz w:val="19"/>
                <w:szCs w:val="19"/>
              </w:rPr>
              <w:t xml:space="preserve">Conforme necessário</w:t>
            </w:r>
          </w:p>
        </w:tc>
      </w:tr>
    </w:tbl>
    <w:p>
      <w:pPr>
        <w:pBdr>
          <w:left w:val="single" w:color="E8A33D" w:sz="18" w:space="8"/>
        </w:pBdr>
        <w:shd w:fill="FFF4E5" w:val="clear"/>
        <w:spacing w:after="240" w:before="100"/>
      </w:pPr>
      <w:r>
        <w:rPr>
          <w:b/>
          <w:bCs/>
          <w:color w:val="8A5B00"/>
          <w:sz w:val="20"/>
          <w:szCs w:val="20"/>
        </w:rPr>
        <w:t xml:space="preserve">Ponto de atenção: </w:t>
      </w:r>
      <w:r>
        <w:rPr>
          <w:color w:val="5A4200"/>
          <w:sz w:val="20"/>
          <w:szCs w:val="20"/>
        </w:rPr>
        <w:t xml:space="preserve">Não ficou definido no Capítulo 3 se a amostragem destrutiva para pigmentos ocorre apenas ao final do experimento ou em pontos intermediários também — isso importa para o cálculo do número de réplicas necessárias (se for destrutiva, cada amostragem reduz o n disponível para as medições seguintes).</w:t>
      </w:r>
    </w:p>
    <w:p>
      <w:r>
        <w:br w:type="page"/>
      </w:r>
    </w:p>
    <w:p>
      <w:pPr>
        <w:pStyle w:val="Heading1"/>
        <w:spacing w:after="150" w:before="300"/>
      </w:pPr>
      <w:r>
        <w:t xml:space="preserve">2. Durante o experimento</w:t>
      </w:r>
    </w:p>
    <w:p>
      <w:pPr>
        <w:pStyle w:val="Heading2"/>
        <w:spacing w:after="150" w:before="300"/>
      </w:pPr>
      <w:r>
        <w:t xml:space="preserve">2.1. Rotina diária</w:t>
      </w:r>
    </w:p>
    <w:p>
      <w:pPr>
        <w:spacing w:after="80"/>
      </w:pPr>
      <w:r>
        <w:t xml:space="preserve">• Verificar visualmente a aeração de todos os frascos (bolhas ativas em cada um).</w:t>
      </w:r>
    </w:p>
    <w:p>
      <w:pPr>
        <w:spacing w:after="80"/>
      </w:pPr>
      <w:r>
        <w:t xml:space="preserve">• Checar e registrar a temperatura de cada sala/banho-maria.</w:t>
      </w:r>
    </w:p>
    <w:p>
      <w:pPr>
        <w:spacing w:after="80"/>
      </w:pPr>
      <w:r>
        <w:t xml:space="preserve">• Observar sinais de contaminação, necrose ou epifitismo excessivo nos talos.</w:t>
      </w:r>
    </w:p>
    <w:p>
      <w:pPr>
        <w:pStyle w:val="Heading2"/>
        <w:spacing w:after="150" w:before="300"/>
      </w:pPr>
      <w:r>
        <w:t xml:space="preserve">2.2. Rotina semanal</w:t>
      </w:r>
    </w:p>
    <w:p>
      <w:pPr>
        <w:spacing w:after="80"/>
      </w:pPr>
      <w:r>
        <w:t xml:space="preserve">• Troca do meio de cultura (volume total ou parcial, conforme protocolo do LAFIC).</w:t>
      </w:r>
    </w:p>
    <w:p>
      <w:pPr>
        <w:spacing w:after="80"/>
      </w:pPr>
      <w:r>
        <w:t xml:space="preserve">• Pesagem de peso úmido de todos os talos (TCE).</w:t>
      </w:r>
    </w:p>
    <w:p>
      <w:pPr>
        <w:spacing w:after="80"/>
      </w:pPr>
      <w:r>
        <w:t xml:space="preserve">• Medição de Fv/Fm via PAM.</w:t>
      </w:r>
    </w:p>
    <w:p>
      <w:pPr>
        <w:spacing w:after="80"/>
      </w:pPr>
      <w:r>
        <w:t xml:space="preserve">• Verificação da salinidade do meio.</w:t>
      </w:r>
    </w:p>
    <w:p>
      <w:pPr>
        <w:pStyle w:val="Heading2"/>
        <w:spacing w:after="150" w:before="300"/>
      </w:pPr>
      <w:r>
        <w:t xml:space="preserve">2.3. Registro de dados</w:t>
      </w:r>
    </w:p>
    <w:p>
      <w:pPr>
        <w:spacing w:after="200"/>
      </w:pPr>
      <w:r>
        <w:t xml:space="preserve">Recomenda-se uma planilha única por tratamento/espécie contendo: data, código do frasco, peso úmido, Fv/Fm, temperatura, salinidade, e observações qualitativas (cor do talo, presença de epífitas, sinais de estresse). Isso facilita tanto a análise estatística posterior (ANOVA de medidas repetidas, já prevista na Seção 3.4) quanto a rastreabilidade caso algum frasco precise ser descartado precocemente.</w:t>
      </w:r>
    </w:p>
    <w:p>
      <w:pPr>
        <w:pStyle w:val="Heading2"/>
        <w:spacing w:after="150" w:before="300"/>
      </w:pPr>
      <w:r>
        <w:t xml:space="preserve">2.4. Biossegurança durante a manipulação (NB-1)</w:t>
      </w:r>
    </w:p>
    <w:p>
      <w:pPr>
        <w:spacing w:after="80"/>
      </w:pPr>
      <w:r>
        <w:t xml:space="preserve">• Jaleco de mangas compridas e abotoado, calça comprida e calçado fechado em qualquer manipulação de bancada.</w:t>
      </w:r>
    </w:p>
    <w:p>
      <w:pPr>
        <w:spacing w:after="80"/>
      </w:pPr>
      <w:r>
        <w:t xml:space="preserve">• Luvas nitrílicas obrigatórias ao manipular amostras fixadas (ex.: formol) ou material fixado para microscopia.</w:t>
      </w:r>
    </w:p>
    <w:p>
      <w:pPr>
        <w:spacing w:after="80"/>
      </w:pPr>
      <w:r>
        <w:t xml:space="preserve">• Manipulação de químicos voláteis (solventes de extração de pigmentos) exclusivamente na capela de gases; rotinas de cultivo estéril na câmara de fluxo laminar.</w:t>
      </w:r>
    </w:p>
    <w:p>
      <w:pPr>
        <w:spacing w:after="80"/>
      </w:pPr>
      <w:r>
        <w:t xml:space="preserve">• Descontaminar as bancadas com álcool 70% antes e depois de cada rotina.</w:t>
      </w:r>
    </w:p>
    <w:p>
      <w:r>
        <w:br w:type="page"/>
      </w:r>
    </w:p>
    <w:p>
      <w:pPr>
        <w:pStyle w:val="Heading1"/>
        <w:spacing w:after="150" w:before="300"/>
      </w:pPr>
      <w:r>
        <w:t xml:space="preserve">3. Pós-experimento: resíduos gerados e descarte</w:t>
      </w:r>
    </w:p>
    <w:p>
      <w:pPr>
        <w:spacing w:after="200"/>
      </w:pPr>
      <w:r>
        <w:t xml:space="preserve">Esta seção segue o fluxo definido no PGRS do LAFIC. Cada tipo de resíduo gerado neste experimento tem um destino específico — misturar fluxos (por exemplo, descartar biomassa de alga no lixo comum, ou meio de cultura líquido sem inativação na pia) não é permitido pelas normas do laboratório.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3950"/>
      </w:tblGrid>
      <w:tr>
        <w:tc>
          <w:tcPr>
            <w:tcW w:type="dxa" w:w="3300"/>
            <w:shd w:fill="D9D9D9" w:val="clear"/>
            <w:tcMar>
              <w:top w:type="dxa" w:w="80"/>
              <w:left w:type="dxa" w:w="100"/>
              <w:bottom w:type="dxa" w:w="80"/>
              <w:right w:type="dxa" w:w="100"/>
            </w:tcMar>
            <w:vAlign w:val="center"/>
          </w:tcPr>
          <w:p>
            <w:r>
              <w:rPr>
                <w:b/>
                <w:bCs/>
                <w:sz w:val="19"/>
                <w:szCs w:val="19"/>
              </w:rPr>
              <w:t xml:space="preserve">Resíduo gerado neste experimento</w:t>
            </w:r>
          </w:p>
        </w:tc>
        <w:tc>
          <w:tcPr>
            <w:tcW w:type="dxa" w:w="2100"/>
            <w:shd w:fill="D9D9D9" w:val="clear"/>
            <w:tcMar>
              <w:top w:type="dxa" w:w="80"/>
              <w:left w:type="dxa" w:w="100"/>
              <w:bottom w:type="dxa" w:w="80"/>
              <w:right w:type="dxa" w:w="100"/>
            </w:tcMar>
            <w:vAlign w:val="center"/>
          </w:tcPr>
          <w:p>
            <w:r>
              <w:rPr>
                <w:b/>
                <w:bCs/>
                <w:sz w:val="19"/>
                <w:szCs w:val="19"/>
              </w:rPr>
              <w:t xml:space="preserve">Fluxo</w:t>
            </w:r>
          </w:p>
        </w:tc>
        <w:tc>
          <w:tcPr>
            <w:tcW w:type="dxa" w:w="3950"/>
            <w:shd w:fill="D9D9D9" w:val="clear"/>
            <w:tcMar>
              <w:top w:type="dxa" w:w="80"/>
              <w:left w:type="dxa" w:w="100"/>
              <w:bottom w:type="dxa" w:w="80"/>
              <w:right w:type="dxa" w:w="100"/>
            </w:tcMar>
            <w:vAlign w:val="center"/>
          </w:tcPr>
          <w:p>
            <w:r>
              <w:rPr>
                <w:b/>
                <w:bCs/>
                <w:sz w:val="19"/>
                <w:szCs w:val="19"/>
              </w:rPr>
              <w:t xml:space="preserve">Procedimento</w:t>
            </w:r>
          </w:p>
        </w:tc>
      </w:tr>
      <w:tr>
        <w:tc>
          <w:tcPr>
            <w:tcW w:type="dxa" w:w="3300"/>
            <w:tcMar>
              <w:top w:type="dxa" w:w="80"/>
              <w:left w:type="dxa" w:w="100"/>
              <w:bottom w:type="dxa" w:w="80"/>
              <w:right w:type="dxa" w:w="100"/>
            </w:tcMar>
            <w:vAlign w:val="center"/>
          </w:tcPr>
          <w:p>
            <w:r>
              <w:rPr>
                <w:b w:val="false"/>
                <w:bCs w:val="false"/>
                <w:sz w:val="19"/>
                <w:szCs w:val="19"/>
              </w:rPr>
              <w:t xml:space="preserve">Meio de cultura líquido usado (trocas semanais e ao final)</w:t>
            </w:r>
          </w:p>
        </w:tc>
        <w:tc>
          <w:tcPr>
            <w:tcW w:type="dxa" w:w="2100"/>
            <w:tcMar>
              <w:top w:type="dxa" w:w="80"/>
              <w:left w:type="dxa" w:w="100"/>
              <w:bottom w:type="dxa" w:w="80"/>
              <w:right w:type="dxa" w:w="100"/>
            </w:tcMar>
            <w:vAlign w:val="center"/>
          </w:tcPr>
          <w:p>
            <w:r>
              <w:rPr>
                <w:b w:val="false"/>
                <w:bCs w:val="false"/>
                <w:sz w:val="19"/>
                <w:szCs w:val="19"/>
              </w:rPr>
              <w:t xml:space="preserve">Infectante/biológico</w:t>
            </w:r>
          </w:p>
        </w:tc>
        <w:tc>
          <w:tcPr>
            <w:tcW w:type="dxa" w:w="3950"/>
            <w:tcMar>
              <w:top w:type="dxa" w:w="80"/>
              <w:left w:type="dxa" w:w="100"/>
              <w:bottom w:type="dxa" w:w="80"/>
              <w:right w:type="dxa" w:w="100"/>
            </w:tcMar>
            <w:vAlign w:val="center"/>
          </w:tcPr>
          <w:p>
            <w:r>
              <w:rPr>
                <w:b w:val="false"/>
                <w:bCs w:val="false"/>
                <w:sz w:val="19"/>
                <w:szCs w:val="19"/>
              </w:rPr>
              <w:t xml:space="preserve">Inativar com Hipoclorito de Sódio 1%, tempo de contato mínimo de 30 min; depois descartar na pia com água corrente abundante.</w:t>
            </w:r>
          </w:p>
        </w:tc>
      </w:tr>
      <w:tr>
        <w:tc>
          <w:tcPr>
            <w:tcW w:type="dxa" w:w="3300"/>
            <w:tcMar>
              <w:top w:type="dxa" w:w="80"/>
              <w:left w:type="dxa" w:w="100"/>
              <w:bottom w:type="dxa" w:w="80"/>
              <w:right w:type="dxa" w:w="100"/>
            </w:tcMar>
            <w:vAlign w:val="center"/>
          </w:tcPr>
          <w:p>
            <w:r>
              <w:rPr>
                <w:b w:val="false"/>
                <w:bCs w:val="false"/>
                <w:sz w:val="19"/>
                <w:szCs w:val="19"/>
              </w:rPr>
              <w:t xml:space="preserve">Biomassa de alga descartada (excedente, talos mortos, restos de biometria)</w:t>
            </w:r>
          </w:p>
        </w:tc>
        <w:tc>
          <w:tcPr>
            <w:tcW w:type="dxa" w:w="2100"/>
            <w:tcMar>
              <w:top w:type="dxa" w:w="80"/>
              <w:left w:type="dxa" w:w="100"/>
              <w:bottom w:type="dxa" w:w="80"/>
              <w:right w:type="dxa" w:w="100"/>
            </w:tcMar>
            <w:vAlign w:val="center"/>
          </w:tcPr>
          <w:p>
            <w:r>
              <w:rPr>
                <w:b w:val="false"/>
                <w:bCs w:val="false"/>
                <w:sz w:val="19"/>
                <w:szCs w:val="19"/>
              </w:rPr>
              <w:t xml:space="preserve">Infectante/biológico — biomassa sólida</w:t>
            </w:r>
          </w:p>
        </w:tc>
        <w:tc>
          <w:tcPr>
            <w:tcW w:type="dxa" w:w="3950"/>
            <w:tcMar>
              <w:top w:type="dxa" w:w="80"/>
              <w:left w:type="dxa" w:w="100"/>
              <w:bottom w:type="dxa" w:w="80"/>
              <w:right w:type="dxa" w:w="100"/>
            </w:tcMar>
            <w:vAlign w:val="center"/>
          </w:tcPr>
          <w:p>
            <w:r>
              <w:rPr>
                <w:b w:val="false"/>
                <w:bCs w:val="false"/>
                <w:sz w:val="19"/>
                <w:szCs w:val="19"/>
              </w:rPr>
              <w:t xml:space="preserve">Não pode ser inativada quimicamente da mesma forma: acondicionar em Saco Vermelho, etiquetar (data, tipo, responsável) e solicitar Coleta Especial à Gestão de Resíduos da UFSC.</w:t>
            </w:r>
          </w:p>
        </w:tc>
      </w:tr>
      <w:tr>
        <w:tc>
          <w:tcPr>
            <w:tcW w:type="dxa" w:w="3300"/>
            <w:tcMar>
              <w:top w:type="dxa" w:w="80"/>
              <w:left w:type="dxa" w:w="100"/>
              <w:bottom w:type="dxa" w:w="80"/>
              <w:right w:type="dxa" w:w="100"/>
            </w:tcMar>
            <w:vAlign w:val="center"/>
          </w:tcPr>
          <w:p>
            <w:r>
              <w:rPr>
                <w:b w:val="false"/>
                <w:bCs w:val="false"/>
                <w:sz w:val="19"/>
                <w:szCs w:val="19"/>
              </w:rPr>
              <w:t xml:space="preserve">Lâminas, lamínulas e pipetas Pasteur de vidro quebradas</w:t>
            </w:r>
          </w:p>
        </w:tc>
        <w:tc>
          <w:tcPr>
            <w:tcW w:type="dxa" w:w="2100"/>
            <w:tcMar>
              <w:top w:type="dxa" w:w="80"/>
              <w:left w:type="dxa" w:w="100"/>
              <w:bottom w:type="dxa" w:w="80"/>
              <w:right w:type="dxa" w:w="100"/>
            </w:tcMar>
            <w:vAlign w:val="center"/>
          </w:tcPr>
          <w:p>
            <w:r>
              <w:rPr>
                <w:b w:val="false"/>
                <w:bCs w:val="false"/>
                <w:sz w:val="19"/>
                <w:szCs w:val="19"/>
              </w:rPr>
              <w:t xml:space="preserve">Perfurocortante</w:t>
            </w:r>
          </w:p>
        </w:tc>
        <w:tc>
          <w:tcPr>
            <w:tcW w:type="dxa" w:w="3950"/>
            <w:tcMar>
              <w:top w:type="dxa" w:w="80"/>
              <w:left w:type="dxa" w:w="100"/>
              <w:bottom w:type="dxa" w:w="80"/>
              <w:right w:type="dxa" w:w="100"/>
            </w:tcMar>
            <w:vAlign w:val="center"/>
          </w:tcPr>
          <w:p>
            <w:r>
              <w:rPr>
                <w:b w:val="false"/>
                <w:bCs w:val="false"/>
                <w:sz w:val="19"/>
                <w:szCs w:val="19"/>
              </w:rPr>
              <w:t xml:space="preserve">Recolher com pinça ou pá (nunca com as mãos) e descartar na Caixa Rígida Amarela (Descarpack) até a linha de preenchimento; solicitar coleta UFSC.</w:t>
            </w:r>
          </w:p>
        </w:tc>
      </w:tr>
      <w:tr>
        <w:tc>
          <w:tcPr>
            <w:tcW w:type="dxa" w:w="3300"/>
            <w:tcMar>
              <w:top w:type="dxa" w:w="80"/>
              <w:left w:type="dxa" w:w="100"/>
              <w:bottom w:type="dxa" w:w="80"/>
              <w:right w:type="dxa" w:w="100"/>
            </w:tcMar>
            <w:vAlign w:val="center"/>
          </w:tcPr>
          <w:p>
            <w:r>
              <w:rPr>
                <w:b w:val="false"/>
                <w:bCs w:val="false"/>
                <w:sz w:val="19"/>
                <w:szCs w:val="19"/>
              </w:rPr>
              <w:t xml:space="preserve">Solventes de extração de pigmentos (ex. acetona, metanol) usados no espectrofotômetro</w:t>
            </w:r>
          </w:p>
        </w:tc>
        <w:tc>
          <w:tcPr>
            <w:tcW w:type="dxa" w:w="2100"/>
            <w:tcMar>
              <w:top w:type="dxa" w:w="80"/>
              <w:left w:type="dxa" w:w="100"/>
              <w:bottom w:type="dxa" w:w="80"/>
              <w:right w:type="dxa" w:w="100"/>
            </w:tcMar>
            <w:vAlign w:val="center"/>
          </w:tcPr>
          <w:p>
            <w:r>
              <w:rPr>
                <w:b w:val="false"/>
                <w:bCs w:val="false"/>
                <w:sz w:val="19"/>
                <w:szCs w:val="19"/>
              </w:rPr>
              <w:t xml:space="preserve">Químico — verificar halogenado/não-halogenado</w:t>
            </w:r>
          </w:p>
        </w:tc>
        <w:tc>
          <w:tcPr>
            <w:tcW w:type="dxa" w:w="3950"/>
            <w:tcMar>
              <w:top w:type="dxa" w:w="80"/>
              <w:left w:type="dxa" w:w="100"/>
              <w:bottom w:type="dxa" w:w="80"/>
              <w:right w:type="dxa" w:w="100"/>
            </w:tcMar>
            <w:vAlign w:val="center"/>
          </w:tcPr>
          <w:p>
            <w:r>
              <w:rPr>
                <w:b w:val="false"/>
                <w:bCs w:val="false"/>
                <w:sz w:val="19"/>
                <w:szCs w:val="19"/>
              </w:rPr>
              <w:t xml:space="preserve">Acondicionar em bombona PEAD por compatibilidade (rótulo azul para não-halogenados, vermelho para halogenados); preencher código IBAMA do resíduo; solicitar coleta UFSC. Nunca descartar na pia.</w:t>
            </w:r>
          </w:p>
        </w:tc>
      </w:tr>
      <w:tr>
        <w:tc>
          <w:tcPr>
            <w:tcW w:type="dxa" w:w="3300"/>
            <w:tcMar>
              <w:top w:type="dxa" w:w="80"/>
              <w:left w:type="dxa" w:w="100"/>
              <w:bottom w:type="dxa" w:w="80"/>
              <w:right w:type="dxa" w:w="100"/>
            </w:tcMar>
            <w:vAlign w:val="center"/>
          </w:tcPr>
          <w:p>
            <w:r>
              <w:rPr>
                <w:b w:val="false"/>
                <w:bCs w:val="false"/>
                <w:sz w:val="19"/>
                <w:szCs w:val="19"/>
              </w:rPr>
              <w:t xml:space="preserve">Luvas, papel toalha e ponteiras não contaminados</w:t>
            </w:r>
          </w:p>
        </w:tc>
        <w:tc>
          <w:tcPr>
            <w:tcW w:type="dxa" w:w="2100"/>
            <w:tcMar>
              <w:top w:type="dxa" w:w="80"/>
              <w:left w:type="dxa" w:w="100"/>
              <w:bottom w:type="dxa" w:w="80"/>
              <w:right w:type="dxa" w:w="100"/>
            </w:tcMar>
            <w:vAlign w:val="center"/>
          </w:tcPr>
          <w:p>
            <w:r>
              <w:rPr>
                <w:b w:val="false"/>
                <w:bCs w:val="false"/>
                <w:sz w:val="19"/>
                <w:szCs w:val="19"/>
              </w:rPr>
              <w:t xml:space="preserve">Comum/reciclável</w:t>
            </w:r>
          </w:p>
        </w:tc>
        <w:tc>
          <w:tcPr>
            <w:tcW w:type="dxa" w:w="3950"/>
            <w:tcMar>
              <w:top w:type="dxa" w:w="80"/>
              <w:left w:type="dxa" w:w="100"/>
              <w:bottom w:type="dxa" w:w="80"/>
              <w:right w:type="dxa" w:w="100"/>
            </w:tcMar>
            <w:vAlign w:val="center"/>
          </w:tcPr>
          <w:p>
            <w:r>
              <w:rPr>
                <w:b w:val="false"/>
                <w:bCs w:val="false"/>
                <w:sz w:val="19"/>
                <w:szCs w:val="19"/>
              </w:rPr>
              <w:t xml:space="preserve">Saco branco (comum) ou verde/azul (reciclável), conforme o material; nunca misturar com material biológico contaminado.</w:t>
            </w:r>
          </w:p>
        </w:tc>
      </w:tr>
      <w:tr>
        <w:tc>
          <w:tcPr>
            <w:tcW w:type="dxa" w:w="3300"/>
            <w:tcMar>
              <w:top w:type="dxa" w:w="80"/>
              <w:left w:type="dxa" w:w="100"/>
              <w:bottom w:type="dxa" w:w="80"/>
              <w:right w:type="dxa" w:w="100"/>
            </w:tcMar>
            <w:vAlign w:val="center"/>
          </w:tcPr>
          <w:p>
            <w:r>
              <w:rPr>
                <w:b w:val="false"/>
                <w:bCs w:val="false"/>
                <w:sz w:val="19"/>
                <w:szCs w:val="19"/>
              </w:rPr>
              <w:t xml:space="preserve">Pilhas do datalogger/termômetro, lâmpadas fluorescentes do fotoperíodo (se substituídas)</w:t>
            </w:r>
          </w:p>
        </w:tc>
        <w:tc>
          <w:tcPr>
            <w:tcW w:type="dxa" w:w="2100"/>
            <w:tcMar>
              <w:top w:type="dxa" w:w="80"/>
              <w:left w:type="dxa" w:w="100"/>
              <w:bottom w:type="dxa" w:w="80"/>
              <w:right w:type="dxa" w:w="100"/>
            </w:tcMar>
            <w:vAlign w:val="center"/>
          </w:tcPr>
          <w:p>
            <w:r>
              <w:rPr>
                <w:b w:val="false"/>
                <w:bCs w:val="false"/>
                <w:sz w:val="19"/>
                <w:szCs w:val="19"/>
              </w:rPr>
              <w:t xml:space="preserve">Logística reversa</w:t>
            </w:r>
          </w:p>
        </w:tc>
        <w:tc>
          <w:tcPr>
            <w:tcW w:type="dxa" w:w="3950"/>
            <w:tcMar>
              <w:top w:type="dxa" w:w="80"/>
              <w:left w:type="dxa" w:w="100"/>
              <w:bottom w:type="dxa" w:w="80"/>
              <w:right w:type="dxa" w:w="100"/>
            </w:tcMar>
            <w:vAlign w:val="center"/>
          </w:tcPr>
          <w:p>
            <w:r>
              <w:rPr>
                <w:b w:val="false"/>
                <w:bCs w:val="false"/>
                <w:sz w:val="19"/>
                <w:szCs w:val="19"/>
              </w:rPr>
              <w:t xml:space="preserve">Armazenar em local seco, separado por tipo, e encaminhar ao ponto de coleta específico da UFSC — não vai para o lixo comum.</w:t>
            </w:r>
          </w:p>
        </w:tc>
      </w:tr>
    </w:tbl>
    <w:p>
      <w:pPr>
        <w:pBdr>
          <w:left w:val="single" w:color="E8A33D" w:sz="18" w:space="8"/>
        </w:pBdr>
        <w:shd w:fill="FFF4E5" w:val="clear"/>
        <w:spacing w:after="240" w:before="100"/>
      </w:pPr>
      <w:r>
        <w:rPr>
          <w:b/>
          <w:bCs/>
          <w:color w:val="8A5B00"/>
          <w:sz w:val="20"/>
          <w:szCs w:val="20"/>
        </w:rPr>
        <w:t xml:space="preserve">Ponto de atenção: </w:t>
      </w:r>
      <w:r>
        <w:rPr>
          <w:color w:val="5A4200"/>
          <w:sz w:val="20"/>
          <w:szCs w:val="20"/>
        </w:rPr>
        <w:t xml:space="preserve">O PGRS do LAFIC sinaliza que ainda não existe uma estimativa de volume mensal de resíduos por classe, e sugere um período de monitoramento de 30-60 dias para gerar essa estimativa. Este experimento é uma ótima oportunidade de já gerar esses dados reais: recomendo preencher a planilha de registro (data, ambiente, tipo de resíduo, quantidade, acondicionamento, responsável, encaminhamento) durante toda a execução — isso alimenta diretamente o próprio PGRS do laboratório, além de documentar o seu experimento.</w:t>
      </w:r>
    </w:p>
    <w:p>
      <w:pPr>
        <w:pStyle w:val="Heading2"/>
        <w:spacing w:after="150" w:before="300"/>
      </w:pPr>
      <w:r>
        <w:t xml:space="preserve">3.1. Limpeza final dos espaços</w:t>
      </w:r>
    </w:p>
    <w:p>
      <w:pPr>
        <w:spacing w:after="80"/>
      </w:pPr>
      <w:r>
        <w:t xml:space="preserve">• Higienizar bancadas, prateleiras e o interior do banho-maria com álcool 70% após a retirada de todos os frascos.</w:t>
      </w:r>
    </w:p>
    <w:p>
      <w:pPr>
        <w:spacing w:after="80"/>
      </w:pPr>
      <w:r>
        <w:t xml:space="preserve">• Lavar e guardar vidrarias reutilizáveis; inspecionar e descartar (via fluxo perfurocortante) qualquer vidraria trincada.</w:t>
      </w:r>
    </w:p>
    <w:p>
      <w:pPr>
        <w:spacing w:after="80"/>
      </w:pPr>
      <w:r>
        <w:t xml:space="preserve">• Desligar e limpar bombas de aeração, verificar mangueiras quanto a resíduos de biofilme.</w:t>
      </w:r>
    </w:p>
    <w:p>
      <w:pPr>
        <w:pBdr>
          <w:left w:val="single" w:color="E8A33D" w:sz="18" w:space="8"/>
        </w:pBdr>
        <w:shd w:fill="FFF4E5" w:val="clear"/>
        <w:spacing w:after="240" w:before="100"/>
      </w:pPr>
      <w:r>
        <w:rPr>
          <w:b/>
          <w:bCs/>
          <w:color w:val="8A5B00"/>
          <w:sz w:val="20"/>
          <w:szCs w:val="20"/>
        </w:rPr>
        <w:t xml:space="preserve">Ponto de atenção: </w:t>
      </w:r>
      <w:r>
        <w:rPr>
          <w:color w:val="5A4200"/>
          <w:sz w:val="20"/>
          <w:szCs w:val="20"/>
        </w:rPr>
        <w:t xml:space="preserve">Não há, no Capítulo 3, uma decisão sobre o que fazer com biomassa remanescente saudável ao final do experimento — se ela pode ser devolvida ao ambiente natural, usada em outro experimento, ou deve necessariamente ir para descarte como resíduo biológico. Isso importa para evitar tanto desperdício de material biológico quanto risco de introdução de linhagens de laboratório no ambiente. Vale definir isso explicitamente antes da execução.</w:t>
      </w:r>
    </w:p>
    <w:p>
      <w:pPr>
        <w:pStyle w:val="Heading2"/>
        <w:spacing w:after="150" w:before="300"/>
      </w:pPr>
      <w:r>
        <w:t xml:space="preserve">3.2. Registro final</w:t>
      </w:r>
    </w:p>
    <w:p>
      <w:pPr>
        <w:spacing w:after="200"/>
      </w:pPr>
      <w:r>
        <w:t xml:space="preserve">Ao final do experimento, consolidar todos os registros de resíduos gerados (planilha do PGRS) e todos os dados biométricos e fisiológicos coletados (planilha semanal da Seção 2.3), entregando ambos ao responsável pelo LAFIC conforme os fluxos institucionais já estabelecidos.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2026-08-02T03:25:56.852Z</dcterms:created>
  <dcterms:modified xsi:type="dcterms:W3CDTF">2026-08-02T03:25:56.882Z</dcterms:modified>
</cp:coreProperties>
</file>

<file path=docProps/custom.xml><?xml version="1.0" encoding="utf-8"?>
<Properties xmlns="http://schemas.openxmlformats.org/officeDocument/2006/custom-properties" xmlns:vt="http://schemas.openxmlformats.org/officeDocument/2006/docPropsVTypes"/>
</file>