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Laporan Keuangan Pesaing (Competitor X) - Tahun 2023</w:t>
      </w:r>
    </w:p>
    <w:p>
      <w:r>
        <w:br/>
        <w:t>Pada tahun fiskal 2023, Competitor X melanjutkan tren pertumbuhannya dengan mencatatkan peningkatan pendapatan sebesar 12% dibandingkan tahun sebelumnya. Meskipun terjadi kenaikan biaya operasional, perusahaan berhasil mempertahankan margin keuntungan dengan strategi efisiensi biaya dan peningkatan produktivitas.</w:t>
        <w:br/>
        <w:br/>
        <w:t>Kondisi neraca menunjukkan bahwa posisi likuiditas perusahaan tetap kuat, dengan rasio lancar yang stabil. Utang jangka panjang mereka mengalami penurunan setelah restrukturisasi utang yang sukses, yang memungkinkan mereka untuk mengurangi beban bunga dan meningkatkan kestabilan finansial.</w:t>
        <w:br/>
        <w:br/>
        <w:t>Di tahun 2023, Competitor X terus berfokus pada ekspansi pasar global dan inovasi produk. Mereka berhasil meluncurkan beberapa produk baru yang mendapatkan respon positif dari pasar, yang membantu mereka untuk tetap bersaing dalam industri yang semakin ketat. Dampak dari keputusan-keputusan strategis ini diharapkan akan terus memperkuat posisi pasar mereka, meskipun tantangan global tetap ada.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