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Laporan Keuangan Pesaing (Competitor X) - Tahun 2022</w:t>
      </w:r>
    </w:p>
    <w:p>
      <w:r>
        <w:br/>
        <w:t>Pada tahun fiskal 2022, Competitor X mengalami pertumbuhan pendapatan yang signifikan, mencatatkan peningkatan sekitar 10% dibandingkan tahun sebelumnya. Meskipun demikian, margin keuntungan mereka mengalami penurunan, akibat biaya operasional yang lebih tinggi seiring dengan peningkatan investasi dalam penelitian dan pengembangan.</w:t>
        <w:br/>
        <w:br/>
        <w:t>Kondisi neraca menunjukkan posisi likuiditas yang cukup kuat, dengan rasio lancar yang memadai. Namun, utang jangka panjang mereka meningkat, yang menunjukkan adanya ketergantungan pada pembiayaan eksternal untuk mendanai ekspansi dan inisiatif strategis.</w:t>
        <w:br/>
        <w:br/>
        <w:t>Investasi dalam teknologi dan perluasan pasar baru menjadi fokus utama mereka di tahun 2022. Langkah-langkah ini dipandang sebagai upaya untuk meningkatkan daya saing dan memposisikan perusahaan di pasar yang semakin kompetitif. Dampak dari keputusan keuangan mereka diperkirakan akan berpengaruh pada posisi pasar kita, terutama dalam hal penawaran produk dan akses ke pasar baru.</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