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6DA0" w14:textId="36E05A74"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Honorables Magistrados</w:t>
      </w:r>
    </w:p>
    <w:p w14:paraId="71086851"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CORTE SUPREMA DE JUSTICIA</w:t>
      </w:r>
    </w:p>
    <w:p w14:paraId="6A96D96B" w14:textId="77777777" w:rsid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SALA DE CASACIÓN LABORAL</w:t>
      </w:r>
    </w:p>
    <w:p w14:paraId="67BA01FF" w14:textId="28F19655" w:rsidR="002557D0"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M.P </w:t>
      </w:r>
      <w:r w:rsidR="00981A58">
        <w:rPr>
          <w:rFonts w:ascii="Arial" w:hAnsi="Arial" w:cs="Arial"/>
          <w:b/>
          <w:bCs/>
          <w:sz w:val="24"/>
          <w:szCs w:val="24"/>
        </w:rPr>
        <w:t>Dra.</w:t>
      </w:r>
      <w:r>
        <w:rPr>
          <w:rFonts w:ascii="Arial" w:hAnsi="Arial" w:cs="Arial"/>
          <w:b/>
          <w:bCs/>
          <w:sz w:val="24"/>
          <w:szCs w:val="24"/>
        </w:rPr>
        <w:t xml:space="preserve"> </w:t>
      </w:r>
      <w:r w:rsidR="002557D0">
        <w:rPr>
          <w:rFonts w:ascii="Arial" w:hAnsi="Arial" w:cs="Arial"/>
          <w:b/>
          <w:bCs/>
          <w:sz w:val="24"/>
          <w:szCs w:val="24"/>
        </w:rPr>
        <w:t xml:space="preserve">CLARA INES LOPEZ DAVILA </w:t>
      </w:r>
    </w:p>
    <w:p w14:paraId="381FD096"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E. S. D.</w:t>
      </w:r>
    </w:p>
    <w:p w14:paraId="3791E7DB" w14:textId="77777777" w:rsidR="00DF6C29" w:rsidRPr="00DF6C29" w:rsidRDefault="00DF6C29" w:rsidP="00DF6C29">
      <w:pPr>
        <w:spacing w:after="0" w:line="240" w:lineRule="auto"/>
        <w:jc w:val="both"/>
        <w:rPr>
          <w:rFonts w:ascii="Arial" w:hAnsi="Arial" w:cs="Arial"/>
          <w:sz w:val="24"/>
          <w:szCs w:val="24"/>
        </w:rPr>
      </w:pPr>
    </w:p>
    <w:p w14:paraId="73787C78" w14:textId="78AE51E8"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Referencia: </w:t>
      </w:r>
      <w:r>
        <w:rPr>
          <w:rFonts w:ascii="Arial" w:hAnsi="Arial" w:cs="Arial"/>
          <w:sz w:val="24"/>
          <w:szCs w:val="24"/>
        </w:rPr>
        <w:tab/>
      </w:r>
      <w:r>
        <w:rPr>
          <w:rFonts w:ascii="Arial" w:hAnsi="Arial" w:cs="Arial"/>
          <w:sz w:val="24"/>
          <w:szCs w:val="24"/>
        </w:rPr>
        <w:tab/>
      </w:r>
      <w:r w:rsidRPr="00DF6C29">
        <w:rPr>
          <w:rFonts w:ascii="Arial" w:hAnsi="Arial" w:cs="Arial"/>
          <w:b/>
          <w:bCs/>
          <w:sz w:val="24"/>
          <w:szCs w:val="24"/>
        </w:rPr>
        <w:t>DEMANDA DE CASACIÓN</w:t>
      </w:r>
    </w:p>
    <w:p w14:paraId="15F57583" w14:textId="5289271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Demandante: </w:t>
      </w:r>
      <w:r>
        <w:rPr>
          <w:rFonts w:ascii="Arial" w:hAnsi="Arial" w:cs="Arial"/>
          <w:sz w:val="24"/>
          <w:szCs w:val="24"/>
        </w:rPr>
        <w:tab/>
      </w:r>
      <w:r w:rsidRPr="00DF6C29">
        <w:rPr>
          <w:rFonts w:ascii="Arial" w:hAnsi="Arial" w:cs="Arial"/>
          <w:b/>
          <w:bCs/>
          <w:sz w:val="24"/>
          <w:szCs w:val="24"/>
        </w:rPr>
        <w:t>AFP PORVENIR S.A.</w:t>
      </w:r>
    </w:p>
    <w:p w14:paraId="04A9EC2C" w14:textId="72ACA5B1"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Demandados: </w:t>
      </w:r>
      <w:r>
        <w:rPr>
          <w:rFonts w:ascii="Arial" w:hAnsi="Arial" w:cs="Arial"/>
          <w:sz w:val="24"/>
          <w:szCs w:val="24"/>
        </w:rPr>
        <w:tab/>
      </w:r>
      <w:r w:rsidRPr="00DF6C29">
        <w:rPr>
          <w:rFonts w:ascii="Arial" w:hAnsi="Arial" w:cs="Arial"/>
          <w:sz w:val="24"/>
          <w:szCs w:val="24"/>
        </w:rPr>
        <w:t>FRANCISCO JAVIER ARENAS FONSECA, CARLOS FERNANDO ARENAS FONSECA, herederos determinados de ANA LUCILA FONSECA DE ARENAS y herederos indeterminados de esta</w:t>
      </w:r>
    </w:p>
    <w:p w14:paraId="05D615B3" w14:textId="77777777" w:rsidR="00DF6C29" w:rsidRPr="00DF6C29" w:rsidRDefault="00DF6C29" w:rsidP="00DF6C29">
      <w:pPr>
        <w:spacing w:after="0" w:line="240" w:lineRule="auto"/>
        <w:jc w:val="both"/>
        <w:rPr>
          <w:rFonts w:ascii="Arial" w:hAnsi="Arial" w:cs="Arial"/>
          <w:sz w:val="24"/>
          <w:szCs w:val="24"/>
        </w:rPr>
      </w:pPr>
    </w:p>
    <w:p w14:paraId="010B32F9"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CARLOS HAROLDO BERMÚDEZ MARTÍNEZ</w:t>
      </w:r>
      <w:r w:rsidRPr="00DF6C29">
        <w:rPr>
          <w:rFonts w:ascii="Arial" w:hAnsi="Arial" w:cs="Arial"/>
          <w:sz w:val="24"/>
          <w:szCs w:val="24"/>
        </w:rPr>
        <w:t xml:space="preserve">, mayor de edad, vecino de Tunja, abogado en ejercicio, identificado con la cédula de ciudadanía No. 7.164.979 y portador de la Tarjeta Profesional No. 269.131 del Consejo Superior de la Judicatura, actuando en calidad de apoderado judicial de la parte demandada dentro del proceso de la referencia, conforme al poder obrante en el expediente, encontrándome en oportunidad legal, me permito presentar </w:t>
      </w:r>
      <w:r w:rsidRPr="00DF6C29">
        <w:rPr>
          <w:rFonts w:ascii="Arial" w:hAnsi="Arial" w:cs="Arial"/>
          <w:b/>
          <w:bCs/>
          <w:sz w:val="24"/>
          <w:szCs w:val="24"/>
        </w:rPr>
        <w:t>DEMANDA DE CASACIÓN</w:t>
      </w:r>
      <w:r w:rsidRPr="00DF6C29">
        <w:rPr>
          <w:rFonts w:ascii="Arial" w:hAnsi="Arial" w:cs="Arial"/>
          <w:sz w:val="24"/>
          <w:szCs w:val="24"/>
        </w:rPr>
        <w:t xml:space="preserve"> contra la sentencia proferida por la Sala Laboral del Tribunal Superior del Distrito Judicial de Tunja el treinta y uno (31) de octubre de dos mil veinticinco (2025), dentro del proceso de la referencia, en los siguientes términos.</w:t>
      </w:r>
    </w:p>
    <w:p w14:paraId="25AF1DC0" w14:textId="77777777" w:rsidR="00DF6C29" w:rsidRPr="00DF6C29" w:rsidRDefault="00DF6C29" w:rsidP="00DF6C29">
      <w:pPr>
        <w:spacing w:after="0" w:line="240" w:lineRule="auto"/>
        <w:jc w:val="both"/>
        <w:rPr>
          <w:rFonts w:ascii="Arial" w:hAnsi="Arial" w:cs="Arial"/>
          <w:sz w:val="24"/>
          <w:szCs w:val="24"/>
        </w:rPr>
      </w:pPr>
    </w:p>
    <w:p w14:paraId="4A15176E"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I. DESIGNACIÓN DE LAS PARTES Y DE LA SENTENCIA IMPUGNADA</w:t>
      </w:r>
    </w:p>
    <w:p w14:paraId="2630C3A5" w14:textId="77777777" w:rsidR="00DF6C29" w:rsidRPr="00DF6C29" w:rsidRDefault="00DF6C29" w:rsidP="00DF6C29">
      <w:pPr>
        <w:spacing w:after="0" w:line="240" w:lineRule="auto"/>
        <w:jc w:val="both"/>
        <w:rPr>
          <w:rFonts w:ascii="Arial" w:hAnsi="Arial" w:cs="Arial"/>
          <w:sz w:val="24"/>
          <w:szCs w:val="24"/>
        </w:rPr>
      </w:pPr>
    </w:p>
    <w:p w14:paraId="37CE69A8" w14:textId="15F19F2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1.1</w:t>
      </w:r>
      <w:r>
        <w:rPr>
          <w:rFonts w:ascii="Arial" w:hAnsi="Arial" w:cs="Arial"/>
          <w:b/>
          <w:bCs/>
          <w:sz w:val="24"/>
          <w:szCs w:val="24"/>
        </w:rPr>
        <w:t xml:space="preserve"> </w:t>
      </w:r>
      <w:r w:rsidRPr="00DF6C29">
        <w:rPr>
          <w:rFonts w:ascii="Arial" w:hAnsi="Arial" w:cs="Arial"/>
          <w:b/>
          <w:bCs/>
          <w:sz w:val="24"/>
          <w:szCs w:val="24"/>
        </w:rPr>
        <w:t>DESIGNACIÓN DE LAS PARTES</w:t>
      </w:r>
    </w:p>
    <w:p w14:paraId="04B82E46" w14:textId="77777777" w:rsidR="00DF6C29" w:rsidRPr="00DF6C29" w:rsidRDefault="00DF6C29" w:rsidP="00DF6C29">
      <w:pPr>
        <w:spacing w:after="0" w:line="240" w:lineRule="auto"/>
        <w:jc w:val="both"/>
        <w:rPr>
          <w:rFonts w:ascii="Arial" w:hAnsi="Arial" w:cs="Arial"/>
          <w:sz w:val="24"/>
          <w:szCs w:val="24"/>
        </w:rPr>
      </w:pPr>
    </w:p>
    <w:p w14:paraId="28D3D78C"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Son partes en este proceso:</w:t>
      </w:r>
    </w:p>
    <w:p w14:paraId="6200DE77" w14:textId="77777777" w:rsidR="00DF6C29" w:rsidRPr="00DF6C29" w:rsidRDefault="00DF6C29" w:rsidP="00DF6C29">
      <w:pPr>
        <w:spacing w:after="0" w:line="240" w:lineRule="auto"/>
        <w:jc w:val="both"/>
        <w:rPr>
          <w:rFonts w:ascii="Arial" w:hAnsi="Arial" w:cs="Arial"/>
          <w:sz w:val="24"/>
          <w:szCs w:val="24"/>
        </w:rPr>
      </w:pPr>
    </w:p>
    <w:p w14:paraId="56635571" w14:textId="23B1EE74"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DEMANDANTE</w:t>
      </w:r>
      <w:r w:rsidRPr="00DF6C29">
        <w:rPr>
          <w:rFonts w:ascii="Arial" w:hAnsi="Arial" w:cs="Arial"/>
          <w:sz w:val="24"/>
          <w:szCs w:val="24"/>
        </w:rPr>
        <w:t xml:space="preserve">: </w:t>
      </w:r>
      <w:r w:rsidRPr="00DF6C29">
        <w:rPr>
          <w:rFonts w:ascii="Arial" w:hAnsi="Arial" w:cs="Arial"/>
          <w:b/>
          <w:bCs/>
          <w:sz w:val="24"/>
          <w:szCs w:val="24"/>
        </w:rPr>
        <w:t>AFP PORVENIR S.A</w:t>
      </w:r>
      <w:r w:rsidRPr="00DF6C29">
        <w:rPr>
          <w:rFonts w:ascii="Arial" w:hAnsi="Arial" w:cs="Arial"/>
          <w:sz w:val="24"/>
          <w:szCs w:val="24"/>
        </w:rPr>
        <w:t>., con domicilio en la ciudad de Bogotá, D.C., y direcciones de notificación que obran en el expediente.</w:t>
      </w:r>
    </w:p>
    <w:p w14:paraId="3BD1C491" w14:textId="77777777" w:rsidR="00DF6C29" w:rsidRPr="00DF6C29" w:rsidRDefault="00DF6C29" w:rsidP="00DF6C29">
      <w:pPr>
        <w:spacing w:after="0" w:line="240" w:lineRule="auto"/>
        <w:jc w:val="both"/>
        <w:rPr>
          <w:rFonts w:ascii="Arial" w:hAnsi="Arial" w:cs="Arial"/>
          <w:sz w:val="24"/>
          <w:szCs w:val="24"/>
        </w:rPr>
      </w:pPr>
    </w:p>
    <w:p w14:paraId="796EB375" w14:textId="220DC9C2"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DEMANDADOS</w:t>
      </w:r>
      <w:r w:rsidRPr="00DF6C29">
        <w:rPr>
          <w:rFonts w:ascii="Arial" w:hAnsi="Arial" w:cs="Arial"/>
          <w:sz w:val="24"/>
          <w:szCs w:val="24"/>
        </w:rPr>
        <w:t>: FRANCISCO JAVIER ARENAS FONSECA, CARLOS FERNANDO ARENAS FONSECA, herederos determinados de ANA LUCILA FONSECA DE ARENAS, cuyas direcciones de notificación obran en el expediente.</w:t>
      </w:r>
    </w:p>
    <w:p w14:paraId="26E785F8" w14:textId="77777777" w:rsidR="00DF6C29" w:rsidRPr="00DF6C29" w:rsidRDefault="00DF6C29" w:rsidP="00DF6C29">
      <w:pPr>
        <w:spacing w:after="0" w:line="240" w:lineRule="auto"/>
        <w:jc w:val="both"/>
        <w:rPr>
          <w:rFonts w:ascii="Arial" w:hAnsi="Arial" w:cs="Arial"/>
          <w:sz w:val="24"/>
          <w:szCs w:val="24"/>
        </w:rPr>
      </w:pPr>
    </w:p>
    <w:p w14:paraId="1B0B3551" w14:textId="1B7ECBCD"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1.2 </w:t>
      </w:r>
      <w:r w:rsidRPr="00DF6C29">
        <w:rPr>
          <w:rFonts w:ascii="Arial" w:hAnsi="Arial" w:cs="Arial"/>
          <w:b/>
          <w:bCs/>
          <w:sz w:val="24"/>
          <w:szCs w:val="24"/>
        </w:rPr>
        <w:t>SENTENCIA IMPUGNADA</w:t>
      </w:r>
    </w:p>
    <w:p w14:paraId="18091D13" w14:textId="77777777" w:rsidR="00DF6C29" w:rsidRPr="00DF6C29" w:rsidRDefault="00DF6C29" w:rsidP="00DF6C29">
      <w:pPr>
        <w:spacing w:after="0" w:line="240" w:lineRule="auto"/>
        <w:jc w:val="both"/>
        <w:rPr>
          <w:rFonts w:ascii="Arial" w:hAnsi="Arial" w:cs="Arial"/>
          <w:sz w:val="24"/>
          <w:szCs w:val="24"/>
        </w:rPr>
      </w:pPr>
    </w:p>
    <w:p w14:paraId="30AD21A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La proferida por la Sala Laboral del Tribunal Superior del Distrito Judicial de Tunja, con ponencia de la </w:t>
      </w:r>
      <w:r w:rsidRPr="00DF6C29">
        <w:rPr>
          <w:rFonts w:ascii="Arial" w:hAnsi="Arial" w:cs="Arial"/>
          <w:b/>
          <w:bCs/>
          <w:sz w:val="24"/>
          <w:szCs w:val="24"/>
        </w:rPr>
        <w:t>H. Magistrada FANNY ELIZABETH ROBLES MARTÍNEZ</w:t>
      </w:r>
      <w:r w:rsidRPr="00DF6C29">
        <w:rPr>
          <w:rFonts w:ascii="Arial" w:hAnsi="Arial" w:cs="Arial"/>
          <w:sz w:val="24"/>
          <w:szCs w:val="24"/>
        </w:rPr>
        <w:t>, el treinta y uno (31) de octubre de dos mil veinticinco (2025), dentro del proceso ordinario laboral No. 15001 3105 001 2022 00022-01, radicación interna 2024-1601, notificada mediante Edicto No. 387 fijado el cuatro (4) de noviembre de dos mil veinticinco (2025).</w:t>
      </w:r>
    </w:p>
    <w:p w14:paraId="7CF166B3" w14:textId="77777777" w:rsidR="00DF6C29" w:rsidRDefault="00DF6C29" w:rsidP="00DF6C29">
      <w:pPr>
        <w:spacing w:after="0" w:line="240" w:lineRule="auto"/>
        <w:jc w:val="both"/>
        <w:rPr>
          <w:rFonts w:ascii="Arial" w:hAnsi="Arial" w:cs="Arial"/>
          <w:sz w:val="24"/>
          <w:szCs w:val="24"/>
        </w:rPr>
      </w:pPr>
    </w:p>
    <w:p w14:paraId="07811486" w14:textId="77777777" w:rsidR="00DF6C29" w:rsidRPr="00DF6C29" w:rsidRDefault="00DF6C29" w:rsidP="00DF6C29">
      <w:pPr>
        <w:spacing w:after="0" w:line="240" w:lineRule="auto"/>
        <w:jc w:val="both"/>
        <w:rPr>
          <w:rFonts w:ascii="Arial" w:hAnsi="Arial" w:cs="Arial"/>
          <w:sz w:val="24"/>
          <w:szCs w:val="24"/>
        </w:rPr>
      </w:pPr>
    </w:p>
    <w:p w14:paraId="53FDC91A" w14:textId="74691F7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lastRenderedPageBreak/>
        <w:t>2. RELACIÓN SINTÉTICA DEL PROCESO Y DE LOS HECHOS MATERIA DE LITIGIO</w:t>
      </w:r>
    </w:p>
    <w:p w14:paraId="4A18CFD3" w14:textId="77777777" w:rsidR="00DF6C29" w:rsidRPr="00DF6C29" w:rsidRDefault="00DF6C29" w:rsidP="00DF6C29">
      <w:pPr>
        <w:spacing w:after="0" w:line="240" w:lineRule="auto"/>
        <w:jc w:val="both"/>
        <w:rPr>
          <w:rFonts w:ascii="Arial" w:hAnsi="Arial" w:cs="Arial"/>
          <w:sz w:val="24"/>
          <w:szCs w:val="24"/>
        </w:rPr>
      </w:pPr>
    </w:p>
    <w:p w14:paraId="55EC74DF" w14:textId="791513C9" w:rsidR="00DF6C29" w:rsidRPr="00DF6C29" w:rsidRDefault="00DF6C29" w:rsidP="00DF6C29">
      <w:pPr>
        <w:pStyle w:val="paragraph"/>
        <w:spacing w:before="0" w:beforeAutospacing="0" w:after="0" w:afterAutospacing="0"/>
        <w:jc w:val="both"/>
        <w:textAlignment w:val="baseline"/>
        <w:rPr>
          <w:rStyle w:val="normaltextrun"/>
          <w:rFonts w:ascii="Arial" w:eastAsiaTheme="majorEastAsia" w:hAnsi="Arial" w:cs="Arial"/>
          <w:b/>
          <w:bCs/>
          <w:lang w:val="es-ES"/>
        </w:rPr>
      </w:pPr>
      <w:r w:rsidRPr="00DF6C29">
        <w:rPr>
          <w:rStyle w:val="normaltextrun"/>
          <w:rFonts w:ascii="Arial" w:eastAsiaTheme="majorEastAsia" w:hAnsi="Arial" w:cs="Arial"/>
          <w:b/>
          <w:bCs/>
          <w:lang w:val="es-ES"/>
        </w:rPr>
        <w:t>2.1 RELACION SINTETICA DE LO HECHOS EN LITIGIO</w:t>
      </w:r>
    </w:p>
    <w:p w14:paraId="5C94DCEE" w14:textId="77777777" w:rsidR="00DF6C29" w:rsidRDefault="00DF6C29" w:rsidP="00DF6C29">
      <w:pPr>
        <w:spacing w:after="0" w:line="240" w:lineRule="auto"/>
        <w:jc w:val="both"/>
        <w:rPr>
          <w:rFonts w:ascii="Arial" w:hAnsi="Arial" w:cs="Arial"/>
          <w:b/>
          <w:bCs/>
          <w:sz w:val="24"/>
          <w:szCs w:val="24"/>
        </w:rPr>
      </w:pPr>
    </w:p>
    <w:p w14:paraId="08AE45F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PRIMERO: </w:t>
      </w:r>
      <w:r w:rsidRPr="004C6C32">
        <w:rPr>
          <w:rFonts w:ascii="Arial" w:hAnsi="Arial" w:cs="Arial"/>
          <w:sz w:val="24"/>
          <w:szCs w:val="24"/>
        </w:rPr>
        <w:t>Francisco Antonio Arenas Aragón nació el 17 de marzo de 1938.</w:t>
      </w:r>
    </w:p>
    <w:p w14:paraId="20BE3041" w14:textId="77777777" w:rsidR="004C6C32" w:rsidRPr="004C6C32" w:rsidRDefault="004C6C32" w:rsidP="004C6C32">
      <w:pPr>
        <w:spacing w:after="0" w:line="240" w:lineRule="auto"/>
        <w:jc w:val="both"/>
        <w:rPr>
          <w:rFonts w:ascii="Arial" w:hAnsi="Arial" w:cs="Arial"/>
          <w:b/>
          <w:bCs/>
          <w:sz w:val="24"/>
          <w:szCs w:val="24"/>
        </w:rPr>
      </w:pPr>
    </w:p>
    <w:p w14:paraId="3B4DF13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SEGUNDO: </w:t>
      </w:r>
      <w:r w:rsidRPr="004C6C32">
        <w:rPr>
          <w:rFonts w:ascii="Arial" w:hAnsi="Arial" w:cs="Arial"/>
          <w:sz w:val="24"/>
          <w:szCs w:val="24"/>
        </w:rPr>
        <w:t>El 1º de agosto de 1998 solicitó su traslado del Régimen de Prima Media con Prestación Definida al Régimen de Ahorro Individual con Solidaridad administrado por AFP Porvenir S.A., con efectividad a partir del 1º de octubre de 1998.</w:t>
      </w:r>
    </w:p>
    <w:p w14:paraId="382B0539" w14:textId="77777777" w:rsidR="004C6C32" w:rsidRPr="004C6C32" w:rsidRDefault="004C6C32" w:rsidP="004C6C32">
      <w:pPr>
        <w:spacing w:after="0" w:line="240" w:lineRule="auto"/>
        <w:jc w:val="both"/>
        <w:rPr>
          <w:rFonts w:ascii="Arial" w:hAnsi="Arial" w:cs="Arial"/>
          <w:b/>
          <w:bCs/>
          <w:sz w:val="24"/>
          <w:szCs w:val="24"/>
        </w:rPr>
      </w:pPr>
    </w:p>
    <w:p w14:paraId="6574316C"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TERCERO: </w:t>
      </w:r>
      <w:r w:rsidRPr="004C6C32">
        <w:rPr>
          <w:rFonts w:ascii="Arial" w:hAnsi="Arial" w:cs="Arial"/>
          <w:sz w:val="24"/>
          <w:szCs w:val="24"/>
        </w:rPr>
        <w:t>Mediante Resolución 352 del 26 de enero de 1999, posteriormente modificada por la Resolución 1688 del 17 de abril de 2000, el Instituto de Seguros Sociales le reconoció pensión de vejez con causación desde el 17 de marzo de 1998.</w:t>
      </w:r>
    </w:p>
    <w:p w14:paraId="3598F4A5" w14:textId="77777777" w:rsidR="004C6C32" w:rsidRPr="004C6C32" w:rsidRDefault="004C6C32" w:rsidP="004C6C32">
      <w:pPr>
        <w:spacing w:after="0" w:line="240" w:lineRule="auto"/>
        <w:jc w:val="both"/>
        <w:rPr>
          <w:rFonts w:ascii="Arial" w:hAnsi="Arial" w:cs="Arial"/>
          <w:b/>
          <w:bCs/>
          <w:sz w:val="24"/>
          <w:szCs w:val="24"/>
        </w:rPr>
      </w:pPr>
    </w:p>
    <w:p w14:paraId="47EE33CF"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CUARTO: </w:t>
      </w:r>
      <w:r w:rsidRPr="004C6C32">
        <w:rPr>
          <w:rFonts w:ascii="Arial" w:hAnsi="Arial" w:cs="Arial"/>
          <w:sz w:val="24"/>
          <w:szCs w:val="24"/>
        </w:rPr>
        <w:t>Francisco Antonio Arenas Aragón falleció el 21 de marzo de 2000.</w:t>
      </w:r>
    </w:p>
    <w:p w14:paraId="18466C2F" w14:textId="77777777" w:rsidR="004C6C32" w:rsidRPr="004C6C32" w:rsidRDefault="004C6C32" w:rsidP="004C6C32">
      <w:pPr>
        <w:spacing w:after="0" w:line="240" w:lineRule="auto"/>
        <w:jc w:val="both"/>
        <w:rPr>
          <w:rFonts w:ascii="Arial" w:hAnsi="Arial" w:cs="Arial"/>
          <w:b/>
          <w:bCs/>
          <w:sz w:val="24"/>
          <w:szCs w:val="24"/>
        </w:rPr>
      </w:pPr>
    </w:p>
    <w:p w14:paraId="60B114B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QUINTO: </w:t>
      </w:r>
      <w:r w:rsidRPr="004C6C32">
        <w:rPr>
          <w:rFonts w:ascii="Arial" w:hAnsi="Arial" w:cs="Arial"/>
          <w:sz w:val="24"/>
          <w:szCs w:val="24"/>
        </w:rPr>
        <w:t>Con posterioridad a su fallecimiento, el Instituto de Seguros Sociales reconoció pensión de sobrevivientes a Ana Lucila Fonseca de Arenas y a Francisco Javier Arenas Fonseca.</w:t>
      </w:r>
    </w:p>
    <w:p w14:paraId="0473F7C4" w14:textId="77777777" w:rsidR="004C6C32" w:rsidRPr="004C6C32" w:rsidRDefault="004C6C32" w:rsidP="004C6C32">
      <w:pPr>
        <w:spacing w:after="0" w:line="240" w:lineRule="auto"/>
        <w:jc w:val="both"/>
        <w:rPr>
          <w:rFonts w:ascii="Arial" w:hAnsi="Arial" w:cs="Arial"/>
          <w:b/>
          <w:bCs/>
          <w:sz w:val="24"/>
          <w:szCs w:val="24"/>
        </w:rPr>
      </w:pPr>
    </w:p>
    <w:p w14:paraId="6FF4BA6B"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SEXTO: </w:t>
      </w:r>
      <w:r w:rsidRPr="004C6C32">
        <w:rPr>
          <w:rFonts w:ascii="Arial" w:hAnsi="Arial" w:cs="Arial"/>
          <w:sz w:val="24"/>
          <w:szCs w:val="24"/>
        </w:rPr>
        <w:t>Mediante comunicación del 9 de agosto de 2000, AFP Porvenir S.A. informó el reconocimiento de pensión de sobrevivientes a Ana Lucila Fonseca de Arenas y a sus hijos Francisco Javier y Carlos Fernando Arenas Fonseca.</w:t>
      </w:r>
    </w:p>
    <w:p w14:paraId="1AA09F1F" w14:textId="77777777" w:rsidR="004C6C32" w:rsidRPr="004C6C32" w:rsidRDefault="004C6C32" w:rsidP="004C6C32">
      <w:pPr>
        <w:spacing w:after="0" w:line="240" w:lineRule="auto"/>
        <w:jc w:val="both"/>
        <w:rPr>
          <w:rFonts w:ascii="Arial" w:hAnsi="Arial" w:cs="Arial"/>
          <w:b/>
          <w:bCs/>
          <w:sz w:val="24"/>
          <w:szCs w:val="24"/>
        </w:rPr>
      </w:pPr>
    </w:p>
    <w:p w14:paraId="1F0532AB"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SÉPTIMO: </w:t>
      </w:r>
      <w:r w:rsidRPr="004C6C32">
        <w:rPr>
          <w:rFonts w:ascii="Arial" w:hAnsi="Arial" w:cs="Arial"/>
          <w:sz w:val="24"/>
          <w:szCs w:val="24"/>
        </w:rPr>
        <w:t>En agosto de 2000 se estructuró el mecanismo de renta vitalicia con Seguros de Vida Alfa S.A., entidad que asumió el pago de la prestación reconocida en el ámbito del Régimen de Ahorro Individual con Solidaridad.</w:t>
      </w:r>
    </w:p>
    <w:p w14:paraId="25758BC3" w14:textId="77777777" w:rsidR="004C6C32" w:rsidRPr="004C6C32" w:rsidRDefault="004C6C32" w:rsidP="004C6C32">
      <w:pPr>
        <w:spacing w:after="0" w:line="240" w:lineRule="auto"/>
        <w:jc w:val="both"/>
        <w:rPr>
          <w:rFonts w:ascii="Arial" w:hAnsi="Arial" w:cs="Arial"/>
          <w:b/>
          <w:bCs/>
          <w:sz w:val="24"/>
          <w:szCs w:val="24"/>
        </w:rPr>
      </w:pPr>
    </w:p>
    <w:p w14:paraId="297F6FD0"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OCTAVO: </w:t>
      </w:r>
      <w:r w:rsidRPr="004C6C32">
        <w:rPr>
          <w:rFonts w:ascii="Arial" w:hAnsi="Arial" w:cs="Arial"/>
          <w:sz w:val="24"/>
          <w:szCs w:val="24"/>
        </w:rPr>
        <w:t>AFP Porvenir S.A. promovió el presente proceso para que se declarara inválida la afiliación de Francisco Antonio Arenas Aragón al Régimen de Ahorro Individual con Solidaridad, se declarara que dicha administradora no estaba obligada al reconocimiento de la pensión de sobrevivientes y se ordenara el reintegro de las sumas percibidas por los beneficiarios.</w:t>
      </w:r>
    </w:p>
    <w:p w14:paraId="18F14C57" w14:textId="77777777" w:rsidR="004C6C32" w:rsidRPr="004C6C32" w:rsidRDefault="004C6C32" w:rsidP="004C6C32">
      <w:pPr>
        <w:spacing w:after="0" w:line="240" w:lineRule="auto"/>
        <w:jc w:val="both"/>
        <w:rPr>
          <w:rFonts w:ascii="Arial" w:hAnsi="Arial" w:cs="Arial"/>
          <w:b/>
          <w:bCs/>
          <w:sz w:val="24"/>
          <w:szCs w:val="24"/>
        </w:rPr>
      </w:pPr>
    </w:p>
    <w:p w14:paraId="7C0A6DE8"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NOVENO: </w:t>
      </w:r>
      <w:r w:rsidRPr="004C6C32">
        <w:rPr>
          <w:rFonts w:ascii="Arial" w:hAnsi="Arial" w:cs="Arial"/>
          <w:sz w:val="24"/>
          <w:szCs w:val="24"/>
        </w:rPr>
        <w:t>El Juzgado Primero Laboral del Circuito de Tunja, mediante sentencia de 25 de noviembre de 2024, negó la totalidad de las pretensiones de la demanda.</w:t>
      </w:r>
    </w:p>
    <w:p w14:paraId="37276859" w14:textId="77777777" w:rsidR="004C6C32" w:rsidRPr="004C6C32" w:rsidRDefault="004C6C32" w:rsidP="004C6C32">
      <w:pPr>
        <w:spacing w:after="0" w:line="240" w:lineRule="auto"/>
        <w:jc w:val="both"/>
        <w:rPr>
          <w:rFonts w:ascii="Arial" w:hAnsi="Arial" w:cs="Arial"/>
          <w:b/>
          <w:bCs/>
          <w:sz w:val="24"/>
          <w:szCs w:val="24"/>
        </w:rPr>
      </w:pPr>
    </w:p>
    <w:p w14:paraId="25383547" w14:textId="7DDAFCF7" w:rsidR="00DF6C29"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DÉCIMO: </w:t>
      </w:r>
      <w:r w:rsidRPr="004C6C32">
        <w:rPr>
          <w:rFonts w:ascii="Arial" w:hAnsi="Arial" w:cs="Arial"/>
          <w:sz w:val="24"/>
          <w:szCs w:val="24"/>
        </w:rPr>
        <w:t>La Sala Laboral del Tribunal Superior del Distrito Judicial de Tunja, mediante sentencia de 31 de octubre de 2025, revocó el fallo de primer grado, declaró inválida la afiliación al Régimen de Ahorro Individual con Solidaridad, sostuvo que AFP Porvenir S.A. no estaba obligada al reconocimiento de la pensión de sobrevivientes y ordenó el reintegro de las sumas recibidas como mesadas pensionales, con intereses de mora.</w:t>
      </w:r>
    </w:p>
    <w:p w14:paraId="100192A1" w14:textId="77777777" w:rsidR="00DF6C29" w:rsidRDefault="00DF6C29" w:rsidP="00DF6C29">
      <w:pPr>
        <w:spacing w:after="0" w:line="240" w:lineRule="auto"/>
        <w:jc w:val="both"/>
        <w:rPr>
          <w:rFonts w:ascii="Arial" w:hAnsi="Arial" w:cs="Arial"/>
          <w:b/>
          <w:bCs/>
          <w:sz w:val="24"/>
          <w:szCs w:val="24"/>
        </w:rPr>
      </w:pPr>
    </w:p>
    <w:p w14:paraId="19935FC1" w14:textId="77777777" w:rsidR="00DF6C29" w:rsidRDefault="00DF6C29" w:rsidP="00DF6C29">
      <w:pPr>
        <w:spacing w:after="0" w:line="240" w:lineRule="auto"/>
        <w:jc w:val="both"/>
        <w:rPr>
          <w:rFonts w:ascii="Arial" w:hAnsi="Arial" w:cs="Arial"/>
          <w:b/>
          <w:bCs/>
          <w:sz w:val="24"/>
          <w:szCs w:val="24"/>
        </w:rPr>
      </w:pPr>
    </w:p>
    <w:p w14:paraId="7860BB55" w14:textId="2762EFB9"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2.2 </w:t>
      </w:r>
      <w:r w:rsidRPr="00DF6C29">
        <w:rPr>
          <w:rFonts w:ascii="Arial" w:hAnsi="Arial" w:cs="Arial"/>
          <w:b/>
          <w:bCs/>
          <w:sz w:val="24"/>
          <w:szCs w:val="24"/>
        </w:rPr>
        <w:t>RELACIÓN DE LA ACTIVIDAD PROCESAL</w:t>
      </w:r>
    </w:p>
    <w:p w14:paraId="31FFA437" w14:textId="77777777" w:rsidR="00DF6C29" w:rsidRPr="00DF6C29" w:rsidRDefault="00DF6C29" w:rsidP="00DF6C29">
      <w:pPr>
        <w:spacing w:after="0" w:line="240" w:lineRule="auto"/>
        <w:jc w:val="both"/>
        <w:rPr>
          <w:rFonts w:ascii="Arial" w:hAnsi="Arial" w:cs="Arial"/>
          <w:sz w:val="24"/>
          <w:szCs w:val="24"/>
        </w:rPr>
      </w:pPr>
    </w:p>
    <w:p w14:paraId="3FF5546D" w14:textId="49C44AB2"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AFP Porvenir S.A. </w:t>
      </w:r>
      <w:r w:rsidRPr="004C6C32">
        <w:rPr>
          <w:rFonts w:ascii="Arial" w:hAnsi="Arial" w:cs="Arial"/>
          <w:sz w:val="24"/>
          <w:szCs w:val="24"/>
        </w:rPr>
        <w:t xml:space="preserve">presentó demanda ordinaria laboral contra </w:t>
      </w:r>
      <w:r w:rsidRPr="004C6C32">
        <w:rPr>
          <w:rFonts w:ascii="Arial" w:hAnsi="Arial" w:cs="Arial"/>
          <w:b/>
          <w:bCs/>
          <w:sz w:val="24"/>
          <w:szCs w:val="24"/>
        </w:rPr>
        <w:t>FRANCISCO JAVIER ARENAS FONSECA</w:t>
      </w:r>
      <w:r w:rsidRPr="004C6C32">
        <w:rPr>
          <w:rFonts w:ascii="Arial" w:hAnsi="Arial" w:cs="Arial"/>
          <w:sz w:val="24"/>
          <w:szCs w:val="24"/>
        </w:rPr>
        <w:t xml:space="preserve">, representado por </w:t>
      </w:r>
      <w:r w:rsidRPr="004C6C32">
        <w:rPr>
          <w:rFonts w:ascii="Arial" w:hAnsi="Arial" w:cs="Arial"/>
          <w:b/>
          <w:bCs/>
          <w:sz w:val="24"/>
          <w:szCs w:val="24"/>
        </w:rPr>
        <w:t>CARLOS FERNANDO ARENAS FONSECA</w:t>
      </w:r>
      <w:r w:rsidRPr="004C6C32">
        <w:rPr>
          <w:rFonts w:ascii="Arial" w:hAnsi="Arial" w:cs="Arial"/>
          <w:sz w:val="24"/>
          <w:szCs w:val="24"/>
        </w:rPr>
        <w:t xml:space="preserve">, solicitando que se declarara inválida la afiliación de </w:t>
      </w:r>
      <w:r w:rsidRPr="004C6C32">
        <w:rPr>
          <w:rFonts w:ascii="Arial" w:hAnsi="Arial" w:cs="Arial"/>
          <w:b/>
          <w:bCs/>
          <w:sz w:val="24"/>
          <w:szCs w:val="24"/>
        </w:rPr>
        <w:t>FRANCISCO ANTONIO ARENAS ARAGÓN</w:t>
      </w:r>
      <w:r w:rsidRPr="004C6C32">
        <w:rPr>
          <w:rFonts w:ascii="Arial" w:hAnsi="Arial" w:cs="Arial"/>
          <w:sz w:val="24"/>
          <w:szCs w:val="24"/>
        </w:rPr>
        <w:t xml:space="preserve"> al Régimen de Ahorro Individual con Solidaridad y que, como consecuencia, se excluyera a la demandante de toda obligación prestacional derivada de la pensión de sobrevivientes reconocida en ese régimen.</w:t>
      </w:r>
    </w:p>
    <w:p w14:paraId="41B4BDED" w14:textId="77777777" w:rsidR="004C6C32" w:rsidRPr="004C6C32" w:rsidRDefault="004C6C32" w:rsidP="004C6C32">
      <w:pPr>
        <w:spacing w:after="0" w:line="240" w:lineRule="auto"/>
        <w:jc w:val="both"/>
        <w:rPr>
          <w:rFonts w:ascii="Arial" w:hAnsi="Arial" w:cs="Arial"/>
          <w:sz w:val="24"/>
          <w:szCs w:val="24"/>
        </w:rPr>
      </w:pPr>
    </w:p>
    <w:p w14:paraId="4DE70F41"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sz w:val="24"/>
          <w:szCs w:val="24"/>
        </w:rPr>
        <w:t>La demanda fue admitida por el Juzgado Primero Laboral del Circuito de Tunja. Durante el trámite se integró el contradictorio con Carlos Fernando Arenas Fonseca y con los herederos indeterminados de Ana Lucila Fonseca de Arenas, teniéndose posteriormente como herederos determinados a Francisco Javier Arenas Fonseca y a Carlos Fernando Arenas Fonseca.</w:t>
      </w:r>
    </w:p>
    <w:p w14:paraId="34410881" w14:textId="77777777" w:rsidR="004C6C32" w:rsidRPr="004C6C32" w:rsidRDefault="004C6C32" w:rsidP="004C6C32">
      <w:pPr>
        <w:spacing w:after="0" w:line="240" w:lineRule="auto"/>
        <w:jc w:val="both"/>
        <w:rPr>
          <w:rFonts w:ascii="Arial" w:hAnsi="Arial" w:cs="Arial"/>
          <w:sz w:val="24"/>
          <w:szCs w:val="24"/>
        </w:rPr>
      </w:pPr>
    </w:p>
    <w:p w14:paraId="3DF0192D"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sz w:val="24"/>
          <w:szCs w:val="24"/>
        </w:rPr>
        <w:t>Surtidas las etapas procesales correspondientes, el Juzgado Primero Laboral del Circuito de Tunja, mediante sentencia del 25 de noviembre de 2024, declaró probada la excepción denominada “derecho a doble asignación pensional” y negó la totalidad de las pretensiones de la demanda, con condena en costas a la parte actora.</w:t>
      </w:r>
    </w:p>
    <w:p w14:paraId="3F02A4CC" w14:textId="77777777" w:rsidR="004C6C32" w:rsidRPr="004C6C32" w:rsidRDefault="004C6C32" w:rsidP="004C6C32">
      <w:pPr>
        <w:spacing w:after="0" w:line="240" w:lineRule="auto"/>
        <w:jc w:val="both"/>
        <w:rPr>
          <w:rFonts w:ascii="Arial" w:hAnsi="Arial" w:cs="Arial"/>
          <w:sz w:val="24"/>
          <w:szCs w:val="24"/>
        </w:rPr>
      </w:pPr>
    </w:p>
    <w:p w14:paraId="240C8995" w14:textId="6378EA98" w:rsidR="00DF6C29" w:rsidRDefault="004C6C32" w:rsidP="004C6C32">
      <w:pPr>
        <w:spacing w:after="0" w:line="240" w:lineRule="auto"/>
        <w:jc w:val="both"/>
        <w:rPr>
          <w:rFonts w:ascii="Arial" w:hAnsi="Arial" w:cs="Arial"/>
          <w:sz w:val="24"/>
          <w:szCs w:val="24"/>
        </w:rPr>
      </w:pPr>
      <w:r w:rsidRPr="004C6C32">
        <w:rPr>
          <w:rFonts w:ascii="Arial" w:hAnsi="Arial" w:cs="Arial"/>
          <w:sz w:val="24"/>
          <w:szCs w:val="24"/>
        </w:rPr>
        <w:t>Interpuesto recurso de apelación por AFP Porvenir S.A., la Sala Laboral del Tribunal Superior del Distrito Judicial de Tunja, mediante sentencia de 31 de octubre de 2025, revocó íntegramente el fallo absolutorio y accedió sustancialmente a las pretensiones de la demandante, en los términos ya referidos.</w:t>
      </w:r>
    </w:p>
    <w:p w14:paraId="60872A2D" w14:textId="77777777" w:rsidR="004A3E32" w:rsidRPr="004C6C32" w:rsidRDefault="004A3E32" w:rsidP="004C6C32">
      <w:pPr>
        <w:spacing w:after="0" w:line="240" w:lineRule="auto"/>
        <w:jc w:val="both"/>
        <w:rPr>
          <w:rFonts w:ascii="Arial" w:hAnsi="Arial" w:cs="Arial"/>
          <w:sz w:val="24"/>
          <w:szCs w:val="24"/>
        </w:rPr>
      </w:pPr>
    </w:p>
    <w:p w14:paraId="518B8AD3" w14:textId="714ABB71" w:rsidR="00DF6C29" w:rsidRPr="00DF6C29" w:rsidRDefault="00DF6C29" w:rsidP="00DF6C29">
      <w:pPr>
        <w:spacing w:after="0" w:line="240" w:lineRule="auto"/>
        <w:jc w:val="both"/>
        <w:rPr>
          <w:rFonts w:ascii="Tahoma" w:hAnsi="Tahoma" w:cs="Tahoma"/>
          <w:b/>
          <w:bCs/>
          <w:sz w:val="24"/>
          <w:szCs w:val="24"/>
        </w:rPr>
      </w:pPr>
      <w:r>
        <w:rPr>
          <w:rFonts w:ascii="Tahoma" w:hAnsi="Tahoma" w:cs="Tahoma"/>
          <w:b/>
          <w:bCs/>
          <w:sz w:val="24"/>
          <w:szCs w:val="24"/>
        </w:rPr>
        <w:t xml:space="preserve">3. </w:t>
      </w:r>
      <w:r w:rsidRPr="00DF6C29">
        <w:rPr>
          <w:rFonts w:ascii="Tahoma" w:hAnsi="Tahoma" w:cs="Tahoma"/>
          <w:b/>
          <w:bCs/>
          <w:sz w:val="24"/>
          <w:szCs w:val="24"/>
        </w:rPr>
        <w:t>PETITUM O ALCANCE DE LA IMPUGANCION, CAUSA PRETENDI O MOTIVOS DE LA CASACION Y CARGOS</w:t>
      </w:r>
    </w:p>
    <w:p w14:paraId="705C49F8" w14:textId="77777777" w:rsidR="00DF6C29" w:rsidRDefault="00DF6C29" w:rsidP="00DF6C29">
      <w:pPr>
        <w:spacing w:after="0" w:line="240" w:lineRule="auto"/>
        <w:jc w:val="both"/>
        <w:rPr>
          <w:rFonts w:ascii="Arial" w:hAnsi="Arial" w:cs="Arial"/>
          <w:sz w:val="24"/>
          <w:szCs w:val="24"/>
        </w:rPr>
      </w:pPr>
    </w:p>
    <w:p w14:paraId="1006CDE2" w14:textId="2401615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3.1 ALCANCE DE LA IMPUGNACIÓN</w:t>
      </w:r>
    </w:p>
    <w:p w14:paraId="701505C7" w14:textId="77777777" w:rsidR="00DF6C29" w:rsidRPr="00DF6C29" w:rsidRDefault="00DF6C29" w:rsidP="00DF6C29">
      <w:pPr>
        <w:spacing w:after="0" w:line="240" w:lineRule="auto"/>
        <w:jc w:val="both"/>
        <w:rPr>
          <w:rFonts w:ascii="Arial" w:hAnsi="Arial" w:cs="Arial"/>
          <w:sz w:val="24"/>
          <w:szCs w:val="24"/>
        </w:rPr>
      </w:pPr>
    </w:p>
    <w:p w14:paraId="718BA9B6" w14:textId="6400C8BB"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primero</w:t>
      </w:r>
      <w:r>
        <w:rPr>
          <w:rFonts w:ascii="Arial" w:hAnsi="Arial" w:cs="Arial"/>
          <w:sz w:val="24"/>
          <w:szCs w:val="24"/>
        </w:rPr>
        <w:t>.</w:t>
      </w:r>
    </w:p>
    <w:p w14:paraId="15FAA63A" w14:textId="77777777" w:rsidR="00DF6C29" w:rsidRPr="00DF6C29" w:rsidRDefault="00DF6C29" w:rsidP="00DF6C29">
      <w:pPr>
        <w:spacing w:after="0" w:line="240" w:lineRule="auto"/>
        <w:jc w:val="both"/>
        <w:rPr>
          <w:rFonts w:ascii="Arial" w:hAnsi="Arial" w:cs="Arial"/>
          <w:sz w:val="24"/>
          <w:szCs w:val="24"/>
        </w:rPr>
      </w:pPr>
    </w:p>
    <w:p w14:paraId="499D5990" w14:textId="553819D3" w:rsidR="00DF6C29" w:rsidRP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 xml:space="preserve">Respecto del cargo primero, pretende el recurrente que la Honorable Corte </w:t>
      </w:r>
      <w:r w:rsidRPr="004A3E32">
        <w:rPr>
          <w:rFonts w:ascii="Arial" w:hAnsi="Arial" w:cs="Arial"/>
          <w:b/>
          <w:bCs/>
          <w:sz w:val="24"/>
          <w:szCs w:val="24"/>
        </w:rPr>
        <w:t>CASE TOTALMENTE</w:t>
      </w:r>
      <w:r w:rsidRPr="004A3E32">
        <w:rPr>
          <w:rFonts w:ascii="Arial" w:hAnsi="Arial" w:cs="Arial"/>
          <w:sz w:val="24"/>
          <w:szCs w:val="24"/>
        </w:rPr>
        <w:t xml:space="preserve"> la sentencia proferida por la Sala Laboral del Tribunal Superior del Distrito Judicial de Tunja el treinta y uno (31) de octubre de dos mil veinticinco (2025), para que, en sede de instancia, </w:t>
      </w:r>
      <w:r w:rsidRPr="004A3E32">
        <w:rPr>
          <w:rFonts w:ascii="Arial" w:hAnsi="Arial" w:cs="Arial"/>
          <w:b/>
          <w:bCs/>
          <w:sz w:val="24"/>
          <w:szCs w:val="24"/>
        </w:rPr>
        <w:t>CONFIRME</w:t>
      </w:r>
      <w:r w:rsidRPr="004A3E32">
        <w:rPr>
          <w:rFonts w:ascii="Arial" w:hAnsi="Arial" w:cs="Arial"/>
          <w:sz w:val="24"/>
          <w:szCs w:val="24"/>
        </w:rPr>
        <w:t xml:space="preserve"> íntegramente la sentencia dictada por el Juzgado Primero Laboral del Circuito de Tunja el veinticinco (25) de noviembre de dos mil veinticuatro (2024), mediante la cual se negaron las pretensiones de la demanda promovida por AFP PORVENIR S.A., inclusive en lo relativo a la condena en costas impuesta a la parte actora en primera instancia.</w:t>
      </w:r>
    </w:p>
    <w:p w14:paraId="3481C04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segundo, formulado subsidiariamente</w:t>
      </w:r>
    </w:p>
    <w:p w14:paraId="70BB45C0" w14:textId="77777777" w:rsidR="00DF6C29" w:rsidRPr="00DF6C29" w:rsidRDefault="00DF6C29" w:rsidP="00DF6C29">
      <w:pPr>
        <w:spacing w:after="0" w:line="240" w:lineRule="auto"/>
        <w:jc w:val="both"/>
        <w:rPr>
          <w:rFonts w:ascii="Arial" w:hAnsi="Arial" w:cs="Arial"/>
          <w:sz w:val="24"/>
          <w:szCs w:val="24"/>
        </w:rPr>
      </w:pPr>
    </w:p>
    <w:p w14:paraId="6CFD9BBB" w14:textId="5B0514E5"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 xml:space="preserve">Respecto del cargo segundo, formulado en subsidio, pretende el recurrente que la Honorable Corte </w:t>
      </w:r>
      <w:r w:rsidRPr="004A3E32">
        <w:rPr>
          <w:rFonts w:ascii="Arial" w:hAnsi="Arial" w:cs="Arial"/>
          <w:b/>
          <w:bCs/>
          <w:sz w:val="24"/>
          <w:szCs w:val="24"/>
        </w:rPr>
        <w:t>CASE PARCIALMENTE</w:t>
      </w:r>
      <w:r w:rsidRPr="004A3E32">
        <w:rPr>
          <w:rFonts w:ascii="Arial" w:hAnsi="Arial" w:cs="Arial"/>
          <w:sz w:val="24"/>
          <w:szCs w:val="24"/>
        </w:rPr>
        <w:t xml:space="preserve"> la sentencia impugnada, exclusivamente en cuanto ordenó a los demandados y herederos reintegrar a AFP PORVENIR S.A. </w:t>
      </w:r>
      <w:r w:rsidRPr="004A3E32">
        <w:rPr>
          <w:rFonts w:ascii="Arial" w:hAnsi="Arial" w:cs="Arial"/>
          <w:sz w:val="24"/>
          <w:szCs w:val="24"/>
        </w:rPr>
        <w:lastRenderedPageBreak/>
        <w:t xml:space="preserve">los montos recibidos como mesadas pensionales, junto con intereses de mora, así como en cuanto impuso a la parte demandada las costas de primera instancia, para que, en sede de instancia, </w:t>
      </w:r>
      <w:r w:rsidRPr="004A3E32">
        <w:rPr>
          <w:rFonts w:ascii="Arial" w:hAnsi="Arial" w:cs="Arial"/>
          <w:b/>
          <w:bCs/>
          <w:sz w:val="24"/>
          <w:szCs w:val="24"/>
        </w:rPr>
        <w:t>REVOQUE</w:t>
      </w:r>
      <w:r w:rsidRPr="004A3E32">
        <w:rPr>
          <w:rFonts w:ascii="Arial" w:hAnsi="Arial" w:cs="Arial"/>
          <w:sz w:val="24"/>
          <w:szCs w:val="24"/>
        </w:rPr>
        <w:t xml:space="preserve"> esas condenas y mantenga incólume lo demás de la decisión que no resulte afectado por este cargo.</w:t>
      </w:r>
    </w:p>
    <w:p w14:paraId="221C0BFF" w14:textId="77777777" w:rsidR="004A3E32" w:rsidRPr="00DF6C29" w:rsidRDefault="004A3E32" w:rsidP="00DF6C29">
      <w:pPr>
        <w:spacing w:after="0" w:line="240" w:lineRule="auto"/>
        <w:jc w:val="both"/>
        <w:rPr>
          <w:rFonts w:ascii="Arial" w:hAnsi="Arial" w:cs="Arial"/>
          <w:sz w:val="24"/>
          <w:szCs w:val="24"/>
        </w:rPr>
      </w:pPr>
    </w:p>
    <w:p w14:paraId="584C3A63" w14:textId="0DEBB74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3.2 </w:t>
      </w:r>
      <w:r w:rsidR="00DF6C29" w:rsidRPr="00E45319">
        <w:rPr>
          <w:rFonts w:ascii="Arial" w:hAnsi="Arial" w:cs="Arial"/>
          <w:b/>
          <w:bCs/>
          <w:sz w:val="24"/>
          <w:szCs w:val="24"/>
        </w:rPr>
        <w:t>CAUSA PRETENDI O MOTIVOS DE LA CASACIÓN</w:t>
      </w:r>
    </w:p>
    <w:p w14:paraId="7F68BFB4" w14:textId="77777777" w:rsidR="00DF6C29" w:rsidRPr="00DF6C29" w:rsidRDefault="00DF6C29" w:rsidP="00DF6C29">
      <w:pPr>
        <w:spacing w:after="0" w:line="240" w:lineRule="auto"/>
        <w:jc w:val="both"/>
        <w:rPr>
          <w:rFonts w:ascii="Arial" w:hAnsi="Arial" w:cs="Arial"/>
          <w:sz w:val="24"/>
          <w:szCs w:val="24"/>
        </w:rPr>
      </w:pPr>
    </w:p>
    <w:p w14:paraId="452838D4" w14:textId="7B1E548E"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Con fundamento en la causal primera de casación prevista en el artículo 87 del Código Procesal del Trabajo y de la Seguridad Social, se acusa la sentencia impugnada por violación de la ley sustancial, a través de dos cargos autónomos: el primero, principal, por la vía directa; y el segundo, subsidiario, por la vía indirecta.</w:t>
      </w:r>
    </w:p>
    <w:p w14:paraId="19E4B18B" w14:textId="77777777" w:rsidR="004A3E32" w:rsidRPr="00DF6C29" w:rsidRDefault="004A3E32" w:rsidP="00DF6C29">
      <w:pPr>
        <w:spacing w:after="0" w:line="240" w:lineRule="auto"/>
        <w:jc w:val="both"/>
        <w:rPr>
          <w:rFonts w:ascii="Arial" w:hAnsi="Arial" w:cs="Arial"/>
          <w:sz w:val="24"/>
          <w:szCs w:val="24"/>
        </w:rPr>
      </w:pPr>
    </w:p>
    <w:p w14:paraId="5EFB4B32" w14:textId="4B722F9D" w:rsidR="00E4531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 CARGOS </w:t>
      </w:r>
    </w:p>
    <w:p w14:paraId="16695DA5" w14:textId="77777777" w:rsidR="00E45319" w:rsidRDefault="00E45319" w:rsidP="00DF6C29">
      <w:pPr>
        <w:spacing w:after="0" w:line="240" w:lineRule="auto"/>
        <w:jc w:val="both"/>
        <w:rPr>
          <w:rFonts w:ascii="Arial" w:hAnsi="Arial" w:cs="Arial"/>
          <w:b/>
          <w:bCs/>
          <w:sz w:val="24"/>
          <w:szCs w:val="24"/>
        </w:rPr>
      </w:pPr>
    </w:p>
    <w:p w14:paraId="3318EEC3" w14:textId="2A80487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3.3.1 </w:t>
      </w:r>
      <w:r w:rsidR="00DF6C29" w:rsidRPr="00E45319">
        <w:rPr>
          <w:rFonts w:ascii="Arial" w:hAnsi="Arial" w:cs="Arial"/>
          <w:b/>
          <w:bCs/>
          <w:sz w:val="24"/>
          <w:szCs w:val="24"/>
        </w:rPr>
        <w:t>CARGO PRIMERO</w:t>
      </w:r>
    </w:p>
    <w:p w14:paraId="5E8C8F32" w14:textId="77777777" w:rsidR="00DF6C29" w:rsidRPr="00DF6C29" w:rsidRDefault="00DF6C29" w:rsidP="00DF6C29">
      <w:pPr>
        <w:spacing w:after="0" w:line="240" w:lineRule="auto"/>
        <w:jc w:val="both"/>
        <w:rPr>
          <w:rFonts w:ascii="Arial" w:hAnsi="Arial" w:cs="Arial"/>
          <w:sz w:val="24"/>
          <w:szCs w:val="24"/>
        </w:rPr>
      </w:pPr>
    </w:p>
    <w:p w14:paraId="515E61A1" w14:textId="2957EA64"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2CD44FFB" w14:textId="77777777" w:rsidR="00DF6C29" w:rsidRPr="00DF6C29" w:rsidRDefault="00DF6C29" w:rsidP="00DF6C29">
      <w:pPr>
        <w:spacing w:after="0" w:line="240" w:lineRule="auto"/>
        <w:jc w:val="both"/>
        <w:rPr>
          <w:rFonts w:ascii="Arial" w:hAnsi="Arial" w:cs="Arial"/>
          <w:sz w:val="24"/>
          <w:szCs w:val="24"/>
        </w:rPr>
      </w:pPr>
    </w:p>
    <w:p w14:paraId="597717DB" w14:textId="30B25C04"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Acuso la sentencia impugnada por la causal primera de casación, por la vía directa, en la modalidad de aplicación indebida del artículo 5 del Decreto 3995 de 2008, en relación con los artículos 16 y 61 literal b) de la Ley 100 de 1993.</w:t>
      </w:r>
    </w:p>
    <w:p w14:paraId="795CB070" w14:textId="77777777" w:rsidR="004A3E32" w:rsidRPr="00DF6C29" w:rsidRDefault="004A3E32" w:rsidP="00DF6C29">
      <w:pPr>
        <w:spacing w:after="0" w:line="240" w:lineRule="auto"/>
        <w:jc w:val="both"/>
        <w:rPr>
          <w:rFonts w:ascii="Arial" w:hAnsi="Arial" w:cs="Arial"/>
          <w:sz w:val="24"/>
          <w:szCs w:val="24"/>
        </w:rPr>
      </w:pPr>
    </w:p>
    <w:p w14:paraId="48DB02F3" w14:textId="2CC7C8F5"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B) </w:t>
      </w:r>
      <w:r w:rsidR="00DF6C29" w:rsidRPr="00E45319">
        <w:rPr>
          <w:rFonts w:ascii="Arial" w:hAnsi="Arial" w:cs="Arial"/>
          <w:b/>
          <w:bCs/>
          <w:sz w:val="24"/>
          <w:szCs w:val="24"/>
        </w:rPr>
        <w:t>DEMOSTRACIÓN</w:t>
      </w:r>
      <w:r>
        <w:rPr>
          <w:rFonts w:ascii="Arial" w:hAnsi="Arial" w:cs="Arial"/>
          <w:b/>
          <w:bCs/>
          <w:sz w:val="24"/>
          <w:szCs w:val="24"/>
        </w:rPr>
        <w:t>:</w:t>
      </w:r>
    </w:p>
    <w:p w14:paraId="150D0EAE" w14:textId="77777777" w:rsidR="00DF6C29" w:rsidRPr="00DF6C29" w:rsidRDefault="00DF6C29" w:rsidP="00DF6C29">
      <w:pPr>
        <w:spacing w:after="0" w:line="240" w:lineRule="auto"/>
        <w:jc w:val="both"/>
        <w:rPr>
          <w:rFonts w:ascii="Arial" w:hAnsi="Arial" w:cs="Arial"/>
          <w:sz w:val="24"/>
          <w:szCs w:val="24"/>
        </w:rPr>
      </w:pPr>
    </w:p>
    <w:p w14:paraId="5FE28220"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Para la sustentación de este cargo, la censura acepta íntegramente la base fáctica y probatoria establecida por el Tribunal, en particular, que Francisco Antonio Arenas Aragón nació el 17 de marzo de 1938; que solicitó traslado al RAIS el 1º de agosto de 1998; que el Instituto de Seguros Sociales le reconoció pensión de vejez con causación desde el 17 de marzo de 1998; que falleció el 21 de marzo de 2000; y que posteriormente AFP Porvenir S.A. reconoció pensión de sobrevivientes a sus beneficiarios. En consecuencia, la acusación se plantea en el plano estrictamente jurídico, con plena conformidad frente a las conclusiones fácticas del fallo.</w:t>
      </w:r>
    </w:p>
    <w:p w14:paraId="0FA6DDAB" w14:textId="77777777" w:rsidR="004A3E32" w:rsidRPr="004A3E32" w:rsidRDefault="004A3E32" w:rsidP="004A3E32">
      <w:pPr>
        <w:spacing w:after="0" w:line="240" w:lineRule="auto"/>
        <w:jc w:val="both"/>
        <w:rPr>
          <w:rFonts w:ascii="Arial" w:hAnsi="Arial" w:cs="Arial"/>
          <w:sz w:val="24"/>
          <w:szCs w:val="24"/>
        </w:rPr>
      </w:pPr>
    </w:p>
    <w:p w14:paraId="0F92AD02"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El Tribunal sustentó la invalidez de la afiliación al RAIS en tres proposiciones jurídicas centrales: i) que el causante, por tener más de cincuenta y cinco (55) años a 1º de abril de 1994, se encontraba excluido del Régimen de Ahorro Individual con Solidaridad por el artículo 61 literal b) de la Ley 100 de 1993; </w:t>
      </w:r>
      <w:proofErr w:type="spellStart"/>
      <w:r w:rsidRPr="004A3E32">
        <w:rPr>
          <w:rFonts w:ascii="Arial" w:hAnsi="Arial" w:cs="Arial"/>
          <w:sz w:val="24"/>
          <w:szCs w:val="24"/>
        </w:rPr>
        <w:t>ii</w:t>
      </w:r>
      <w:proofErr w:type="spellEnd"/>
      <w:r w:rsidRPr="004A3E32">
        <w:rPr>
          <w:rFonts w:ascii="Arial" w:hAnsi="Arial" w:cs="Arial"/>
          <w:sz w:val="24"/>
          <w:szCs w:val="24"/>
        </w:rPr>
        <w:t xml:space="preserve">) que no podía estar válidamente afiliado a ambos regímenes a la vez, por la incompatibilidad del artículo 16 ibidem; y </w:t>
      </w:r>
      <w:proofErr w:type="spellStart"/>
      <w:r w:rsidRPr="004A3E32">
        <w:rPr>
          <w:rFonts w:ascii="Arial" w:hAnsi="Arial" w:cs="Arial"/>
          <w:sz w:val="24"/>
          <w:szCs w:val="24"/>
        </w:rPr>
        <w:t>iii</w:t>
      </w:r>
      <w:proofErr w:type="spellEnd"/>
      <w:r w:rsidRPr="004A3E32">
        <w:rPr>
          <w:rFonts w:ascii="Arial" w:hAnsi="Arial" w:cs="Arial"/>
          <w:sz w:val="24"/>
          <w:szCs w:val="24"/>
        </w:rPr>
        <w:t>) que, tratándose de una pensión compartida, el artículo 5 del Decreto 3995 de 2008 llevaba a considerar inválida la afiliación al RAIS y erróneos los aportes allí efectuados.</w:t>
      </w:r>
    </w:p>
    <w:p w14:paraId="0903EEEF" w14:textId="77777777" w:rsidR="004A3E32" w:rsidRPr="004A3E32" w:rsidRDefault="004A3E32" w:rsidP="004A3E32">
      <w:pPr>
        <w:spacing w:after="0" w:line="240" w:lineRule="auto"/>
        <w:jc w:val="both"/>
        <w:rPr>
          <w:rFonts w:ascii="Arial" w:hAnsi="Arial" w:cs="Arial"/>
          <w:sz w:val="24"/>
          <w:szCs w:val="24"/>
        </w:rPr>
      </w:pPr>
    </w:p>
    <w:p w14:paraId="76F20C0E" w14:textId="1F7A37E4"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El quebranto de la ley sustancial se configura porque el ad </w:t>
      </w:r>
      <w:proofErr w:type="spellStart"/>
      <w:r w:rsidRPr="004A3E32">
        <w:rPr>
          <w:rFonts w:ascii="Arial" w:hAnsi="Arial" w:cs="Arial"/>
          <w:sz w:val="24"/>
          <w:szCs w:val="24"/>
        </w:rPr>
        <w:t>quem</w:t>
      </w:r>
      <w:proofErr w:type="spellEnd"/>
      <w:r w:rsidRPr="004A3E32">
        <w:rPr>
          <w:rFonts w:ascii="Arial" w:hAnsi="Arial" w:cs="Arial"/>
          <w:sz w:val="24"/>
          <w:szCs w:val="24"/>
        </w:rPr>
        <w:t xml:space="preserve"> hizo operar el artículo 5 del Decreto 3995 de 2008 fuera de su ámbito propio de aplicación temporal y material. En efecto, el propio Tribunal transcribió la Sentencia T-266 de 2023 </w:t>
      </w:r>
      <w:r w:rsidR="003705F4">
        <w:rPr>
          <w:rFonts w:ascii="Arial" w:hAnsi="Arial" w:cs="Arial"/>
          <w:sz w:val="24"/>
          <w:szCs w:val="24"/>
        </w:rPr>
        <w:t xml:space="preserve">proferida por la honorable </w:t>
      </w:r>
      <w:r w:rsidRPr="004A3E32">
        <w:rPr>
          <w:rFonts w:ascii="Arial" w:hAnsi="Arial" w:cs="Arial"/>
          <w:sz w:val="24"/>
          <w:szCs w:val="24"/>
        </w:rPr>
        <w:t xml:space="preserve">Corte Constitucional, en la que se explica que el Decreto 3995 de 2008 fue expedido para resolver escenarios de múltiple afiliación </w:t>
      </w:r>
      <w:r w:rsidRPr="004A3E32">
        <w:rPr>
          <w:rFonts w:ascii="Arial" w:hAnsi="Arial" w:cs="Arial"/>
          <w:sz w:val="24"/>
          <w:szCs w:val="24"/>
        </w:rPr>
        <w:lastRenderedPageBreak/>
        <w:t>existentes al 31 de diciembre de 2007, esto es, para definir a qué administradora quedaban vinculadas personas cuyo traslado se produjo incumpliendo requisitos legales y que aún se encontraban en esa situación al momento establecido por la regulación.</w:t>
      </w:r>
    </w:p>
    <w:p w14:paraId="3EC56EFF" w14:textId="77777777" w:rsidR="004A3E32" w:rsidRPr="004A3E32" w:rsidRDefault="004A3E32" w:rsidP="004A3E32">
      <w:pPr>
        <w:spacing w:after="0" w:line="240" w:lineRule="auto"/>
        <w:jc w:val="both"/>
        <w:rPr>
          <w:rFonts w:ascii="Arial" w:hAnsi="Arial" w:cs="Arial"/>
          <w:sz w:val="24"/>
          <w:szCs w:val="24"/>
        </w:rPr>
      </w:pPr>
    </w:p>
    <w:p w14:paraId="373FF47E"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No obstante, pese a reconocer ese marco, el Tribunal utilizó el artículo 5 del Decreto 3995 de 2008 para gobernar un supuesto fáctico diverso y ya consolidado mucho antes: una afiliación ocurrida en agosto de 1998, el fallecimiento del afiliado en marzo de 2000 y el reconocimiento de la pensión de sobrevivientes en agosto de 2000. Con ello, extendió retroactivamente una regla reglamentaria dictada para resolver situaciones posteriores de múltiple afiliación a un asunto estructurado y consumado años antes de su expedición.</w:t>
      </w:r>
    </w:p>
    <w:p w14:paraId="2B936708" w14:textId="77777777" w:rsidR="004A3E32" w:rsidRPr="004A3E32" w:rsidRDefault="004A3E32" w:rsidP="004A3E32">
      <w:pPr>
        <w:spacing w:after="0" w:line="240" w:lineRule="auto"/>
        <w:jc w:val="both"/>
        <w:rPr>
          <w:rFonts w:ascii="Arial" w:hAnsi="Arial" w:cs="Arial"/>
          <w:sz w:val="24"/>
          <w:szCs w:val="24"/>
        </w:rPr>
      </w:pPr>
    </w:p>
    <w:p w14:paraId="50E46EE7"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El desacierto no fue menor, pues sobre esa indebida aplicación el fallo edificó la consecuencia jurídica decisiva del proceso: la invalidez de la afiliación de Francisco Antonio Arenas Aragón al RAIS y la exclusión total de obligación pensional a cargo de AFP Porvenir S.A. En otros términos, el Tribunal hizo decir al artículo 5 del Decreto 3995 de 2008 que una afiliación de 1998, con efectos prestacionales reconocidos en 2000, debía ser tenida por inválida a partir de una regla reglamentaria posterior, diseñada para otra hipótesis normativa.</w:t>
      </w:r>
    </w:p>
    <w:p w14:paraId="667F7B51" w14:textId="77777777" w:rsidR="004A3E32" w:rsidRPr="004A3E32" w:rsidRDefault="004A3E32" w:rsidP="004A3E32">
      <w:pPr>
        <w:spacing w:after="0" w:line="240" w:lineRule="auto"/>
        <w:jc w:val="both"/>
        <w:rPr>
          <w:rFonts w:ascii="Arial" w:hAnsi="Arial" w:cs="Arial"/>
          <w:sz w:val="24"/>
          <w:szCs w:val="24"/>
        </w:rPr>
      </w:pPr>
    </w:p>
    <w:p w14:paraId="43AAC5BE"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Aun si se admitiese que el artículo 61 literal b) de la Ley 100 de 1993 consagraba una exclusión frente al RAIS para determinados afiliados por razón de edad, ello no habilitaba sin más la aplicación del artículo 5 del Decreto 3995 de 2008 a un caso regido por hechos anteriores y ya consolidados. El Tribunal, entonces, no solo aplicó una norma reglamentaria a una situación temporalmente ajena a su supuesto de hecho, sino que la convirtió en fundamento inmediato para deshacer los efectos jurídicos de una afiliación aceptada por la administradora privada y de una prestación de sobrevivientes ya reconocida.</w:t>
      </w:r>
    </w:p>
    <w:p w14:paraId="0970D268" w14:textId="77777777" w:rsidR="004A3E32" w:rsidRPr="004A3E32" w:rsidRDefault="004A3E32" w:rsidP="004A3E32">
      <w:pPr>
        <w:spacing w:after="0" w:line="240" w:lineRule="auto"/>
        <w:jc w:val="both"/>
        <w:rPr>
          <w:rFonts w:ascii="Arial" w:hAnsi="Arial" w:cs="Arial"/>
          <w:sz w:val="24"/>
          <w:szCs w:val="24"/>
        </w:rPr>
      </w:pPr>
    </w:p>
    <w:p w14:paraId="4844A517"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De otra parte, el ad </w:t>
      </w:r>
      <w:proofErr w:type="spellStart"/>
      <w:r w:rsidRPr="004A3E32">
        <w:rPr>
          <w:rFonts w:ascii="Arial" w:hAnsi="Arial" w:cs="Arial"/>
          <w:sz w:val="24"/>
          <w:szCs w:val="24"/>
        </w:rPr>
        <w:t>quem</w:t>
      </w:r>
      <w:proofErr w:type="spellEnd"/>
      <w:r w:rsidRPr="004A3E32">
        <w:rPr>
          <w:rFonts w:ascii="Arial" w:hAnsi="Arial" w:cs="Arial"/>
          <w:sz w:val="24"/>
          <w:szCs w:val="24"/>
        </w:rPr>
        <w:t xml:space="preserve"> utilizó los artículos 16 y 61 literal b) de la Ley 100 de 1993 como soporte concurrente de esa misma conclusión. Sin embargo, tales disposiciones regulan, respectivamente, la incompatibilidad entre regímenes y la exclusión legal frente al RAIS para ciertas personas según la edad y el número de semanas en el nuevo régimen. Lo que no autorizan, por sí mismas, es a proyectar automáticamente esa incompatibilidad o exclusión sobre la extinción retroactiva de todos los efectos de una afiliación aceptada y ejecutada por la AFP y, menos aún, sobre la desaparición de una prestación de sobrevivientes ya reconocida a terceros beneficiarios.</w:t>
      </w:r>
    </w:p>
    <w:p w14:paraId="0C7E3DDF" w14:textId="77777777" w:rsidR="004A3E32" w:rsidRPr="004A3E32" w:rsidRDefault="004A3E32" w:rsidP="004A3E32">
      <w:pPr>
        <w:spacing w:after="0" w:line="240" w:lineRule="auto"/>
        <w:jc w:val="both"/>
        <w:rPr>
          <w:rFonts w:ascii="Arial" w:hAnsi="Arial" w:cs="Arial"/>
          <w:sz w:val="24"/>
          <w:szCs w:val="24"/>
        </w:rPr>
      </w:pPr>
    </w:p>
    <w:p w14:paraId="621857AC"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La indebida aplicación de esas normas consistió, entonces, en hacerlas concurrir con el artículo 5 del Decreto 3995 de 2008 para producir un efecto jurídico de invalidez retrospectiva que no correspondía al caso decidido. El Tribunal no resolvió simplemente un problema actual de adscripción o pertenencia al sistema; resolvió, con base en reglas normativas indebidamente aplicadas, la anulación de efectos prestacionales ya consolidados en el tiempo.</w:t>
      </w:r>
    </w:p>
    <w:p w14:paraId="5AE83C25" w14:textId="77777777" w:rsidR="004A3E32" w:rsidRPr="004A3E32" w:rsidRDefault="004A3E32" w:rsidP="004A3E32">
      <w:pPr>
        <w:spacing w:after="0" w:line="240" w:lineRule="auto"/>
        <w:jc w:val="both"/>
        <w:rPr>
          <w:rFonts w:ascii="Arial" w:hAnsi="Arial" w:cs="Arial"/>
          <w:sz w:val="24"/>
          <w:szCs w:val="24"/>
        </w:rPr>
      </w:pPr>
    </w:p>
    <w:p w14:paraId="774E78C6" w14:textId="1A584F67" w:rsidR="00DF6C29" w:rsidRDefault="004A3E32" w:rsidP="004A3E32">
      <w:pPr>
        <w:spacing w:after="0" w:line="240" w:lineRule="auto"/>
        <w:jc w:val="both"/>
        <w:rPr>
          <w:rFonts w:ascii="Arial" w:hAnsi="Arial" w:cs="Arial"/>
          <w:sz w:val="24"/>
          <w:szCs w:val="24"/>
        </w:rPr>
      </w:pPr>
      <w:r w:rsidRPr="004A3E32">
        <w:rPr>
          <w:rFonts w:ascii="Arial" w:hAnsi="Arial" w:cs="Arial"/>
          <w:sz w:val="24"/>
          <w:szCs w:val="24"/>
        </w:rPr>
        <w:lastRenderedPageBreak/>
        <w:t>Por lo expuesto, el fallo impugnado incurrió en aplicación indebida del artículo 5 del Decreto 3995 de 2008, en relación con los artículos 16 y 61 literal b) de la Ley 100 de 1993, lo que condujo a revocar indebidamente la sentencia absolutoria de primer grado.</w:t>
      </w:r>
    </w:p>
    <w:p w14:paraId="78BFAE73" w14:textId="77777777" w:rsidR="004A3E32" w:rsidRPr="00DF6C29" w:rsidRDefault="004A3E32" w:rsidP="004A3E32">
      <w:pPr>
        <w:spacing w:after="0" w:line="240" w:lineRule="auto"/>
        <w:jc w:val="both"/>
        <w:rPr>
          <w:rFonts w:ascii="Arial" w:hAnsi="Arial" w:cs="Arial"/>
          <w:sz w:val="24"/>
          <w:szCs w:val="24"/>
        </w:rPr>
      </w:pPr>
    </w:p>
    <w:p w14:paraId="187C3287" w14:textId="53E126DA"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PRIMERO</w:t>
      </w:r>
    </w:p>
    <w:p w14:paraId="6FAB1C6A" w14:textId="77777777" w:rsidR="00DF6C29" w:rsidRPr="00DF6C29" w:rsidRDefault="00DF6C29" w:rsidP="00DF6C29">
      <w:pPr>
        <w:spacing w:after="0" w:line="240" w:lineRule="auto"/>
        <w:jc w:val="both"/>
        <w:rPr>
          <w:rFonts w:ascii="Arial" w:hAnsi="Arial" w:cs="Arial"/>
          <w:sz w:val="24"/>
          <w:szCs w:val="24"/>
        </w:rPr>
      </w:pPr>
    </w:p>
    <w:p w14:paraId="1ECD80C4" w14:textId="47AA6CE9"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Por lo expuesto, solicito a la Honorable Corte casar totalmente la sentencia impugnada y, en sede de instancia, confirmar íntegramente la sentencia proferida por el Juzgado Primero Laboral del Circuito de Tunja el 25 de noviembre de 2024.</w:t>
      </w:r>
    </w:p>
    <w:p w14:paraId="3D41C50A" w14:textId="77777777" w:rsidR="004A3E32" w:rsidRPr="00DF6C29" w:rsidRDefault="004A3E32" w:rsidP="00DF6C29">
      <w:pPr>
        <w:spacing w:after="0" w:line="240" w:lineRule="auto"/>
        <w:jc w:val="both"/>
        <w:rPr>
          <w:rFonts w:ascii="Arial" w:hAnsi="Arial" w:cs="Arial"/>
          <w:sz w:val="24"/>
          <w:szCs w:val="24"/>
        </w:rPr>
      </w:pPr>
    </w:p>
    <w:p w14:paraId="4CD1A87C" w14:textId="6A10B7C2"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3.3.2</w:t>
      </w:r>
      <w:r w:rsidR="00DF6C29" w:rsidRPr="00E45319">
        <w:rPr>
          <w:rFonts w:ascii="Arial" w:hAnsi="Arial" w:cs="Arial"/>
          <w:b/>
          <w:bCs/>
          <w:sz w:val="24"/>
          <w:szCs w:val="24"/>
        </w:rPr>
        <w:t xml:space="preserve"> CARGO SEGUNDO</w:t>
      </w:r>
    </w:p>
    <w:p w14:paraId="22396940" w14:textId="77777777" w:rsidR="00DF6C29" w:rsidRPr="00DF6C29" w:rsidRDefault="00DF6C29" w:rsidP="00DF6C29">
      <w:pPr>
        <w:spacing w:after="0" w:line="240" w:lineRule="auto"/>
        <w:jc w:val="both"/>
        <w:rPr>
          <w:rFonts w:ascii="Arial" w:hAnsi="Arial" w:cs="Arial"/>
          <w:sz w:val="24"/>
          <w:szCs w:val="24"/>
        </w:rPr>
      </w:pPr>
    </w:p>
    <w:p w14:paraId="0F878BAD" w14:textId="603BED0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5E063401" w14:textId="77777777" w:rsidR="00DF6C29" w:rsidRPr="00DF6C29" w:rsidRDefault="00DF6C29" w:rsidP="00DF6C29">
      <w:pPr>
        <w:spacing w:after="0" w:line="240" w:lineRule="auto"/>
        <w:jc w:val="both"/>
        <w:rPr>
          <w:rFonts w:ascii="Arial" w:hAnsi="Arial" w:cs="Arial"/>
          <w:sz w:val="24"/>
          <w:szCs w:val="24"/>
        </w:rPr>
      </w:pPr>
    </w:p>
    <w:p w14:paraId="1EDBF0C4" w14:textId="147A43FA" w:rsidR="004A3E32" w:rsidRDefault="00373810" w:rsidP="00DF6C29">
      <w:pPr>
        <w:spacing w:after="0" w:line="240" w:lineRule="auto"/>
        <w:jc w:val="both"/>
        <w:rPr>
          <w:rFonts w:ascii="Arial" w:hAnsi="Arial" w:cs="Arial"/>
          <w:sz w:val="24"/>
          <w:szCs w:val="24"/>
        </w:rPr>
      </w:pPr>
      <w:r w:rsidRPr="00373810">
        <w:rPr>
          <w:rFonts w:ascii="Arial" w:hAnsi="Arial" w:cs="Arial"/>
          <w:sz w:val="24"/>
          <w:szCs w:val="24"/>
        </w:rPr>
        <w:t>Subsidiariamente, acuso la sentencia impugnada por la causal primera de casación, por la vía indirecta, en la modalidad de aplicación indebida del artículo 2321 del Código Civil, disposición expresamente invocada por el Tribunal para sustentar la condena restitutoria impuesta a los demandados.</w:t>
      </w:r>
    </w:p>
    <w:p w14:paraId="441705DE" w14:textId="77777777" w:rsidR="00373810" w:rsidRPr="00DF6C29" w:rsidRDefault="00373810" w:rsidP="00DF6C29">
      <w:pPr>
        <w:spacing w:after="0" w:line="240" w:lineRule="auto"/>
        <w:jc w:val="both"/>
        <w:rPr>
          <w:rFonts w:ascii="Arial" w:hAnsi="Arial" w:cs="Arial"/>
          <w:sz w:val="24"/>
          <w:szCs w:val="24"/>
        </w:rPr>
      </w:pPr>
    </w:p>
    <w:p w14:paraId="38742830" w14:textId="77777777"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ERRORES DE HECHO</w:t>
      </w:r>
    </w:p>
    <w:p w14:paraId="5B36784D" w14:textId="77777777" w:rsidR="00DF6C29" w:rsidRPr="00DF6C29" w:rsidRDefault="00DF6C29" w:rsidP="00DF6C29">
      <w:pPr>
        <w:spacing w:after="0" w:line="240" w:lineRule="auto"/>
        <w:jc w:val="both"/>
        <w:rPr>
          <w:rFonts w:ascii="Arial" w:hAnsi="Arial" w:cs="Arial"/>
          <w:sz w:val="24"/>
          <w:szCs w:val="24"/>
        </w:rPr>
      </w:pPr>
    </w:p>
    <w:p w14:paraId="525A90F6" w14:textId="2B2F4CDE"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 xml:space="preserve">PRIMERO. </w:t>
      </w:r>
      <w:r w:rsidRPr="004A3E32">
        <w:rPr>
          <w:rFonts w:ascii="Arial" w:hAnsi="Arial" w:cs="Arial"/>
          <w:sz w:val="24"/>
          <w:szCs w:val="24"/>
        </w:rPr>
        <w:t>Dar por demostrado, sin estarlo, que AFP Porvenir S.A. fue la entidad que pagó las sumas cuya restitución ordenó el Tribunal.</w:t>
      </w:r>
    </w:p>
    <w:p w14:paraId="777801CF" w14:textId="77777777" w:rsidR="004A3E32" w:rsidRPr="004A3E32" w:rsidRDefault="004A3E32" w:rsidP="004A3E32">
      <w:pPr>
        <w:spacing w:after="0" w:line="240" w:lineRule="auto"/>
        <w:jc w:val="both"/>
        <w:rPr>
          <w:rFonts w:ascii="Arial" w:hAnsi="Arial" w:cs="Arial"/>
          <w:b/>
          <w:bCs/>
          <w:sz w:val="24"/>
          <w:szCs w:val="24"/>
        </w:rPr>
      </w:pPr>
    </w:p>
    <w:p w14:paraId="51EA573D" w14:textId="564350BE" w:rsidR="004A3E32"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 xml:space="preserve">SEGUNDO. </w:t>
      </w:r>
      <w:r w:rsidRPr="004A3E32">
        <w:rPr>
          <w:rFonts w:ascii="Arial" w:hAnsi="Arial" w:cs="Arial"/>
          <w:sz w:val="24"/>
          <w:szCs w:val="24"/>
        </w:rPr>
        <w:t>No dar por demostrado, estándolo, que las mesadas cuya devolución se ordenó aparecen en el expediente, al menos en la prueba concreta de pago, como canceladas por Seguros de Vida Alfa S.A.</w:t>
      </w:r>
    </w:p>
    <w:p w14:paraId="26218E83" w14:textId="77777777" w:rsidR="004A3E32" w:rsidRPr="004A3E32" w:rsidRDefault="004A3E32" w:rsidP="004A3E32">
      <w:pPr>
        <w:spacing w:after="0" w:line="240" w:lineRule="auto"/>
        <w:jc w:val="both"/>
        <w:rPr>
          <w:rFonts w:ascii="Arial" w:hAnsi="Arial" w:cs="Arial"/>
          <w:b/>
          <w:bCs/>
          <w:sz w:val="24"/>
          <w:szCs w:val="24"/>
        </w:rPr>
      </w:pPr>
    </w:p>
    <w:p w14:paraId="7064F8C6" w14:textId="39A53A2E" w:rsidR="004A3E32"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 xml:space="preserve">TERCERO. </w:t>
      </w:r>
      <w:r w:rsidRPr="004A3E32">
        <w:rPr>
          <w:rFonts w:ascii="Arial" w:hAnsi="Arial" w:cs="Arial"/>
          <w:sz w:val="24"/>
          <w:szCs w:val="24"/>
        </w:rPr>
        <w:t>Dar por demostrado, sin estarlo, que existía certeza probatoria suficiente acerca del monto total de las mesadas cuya devolución se ordenó a favor de Porvenir.</w:t>
      </w:r>
    </w:p>
    <w:p w14:paraId="6CA8C52E" w14:textId="77777777" w:rsidR="004A3E32" w:rsidRPr="004A3E32" w:rsidRDefault="004A3E32" w:rsidP="004A3E32">
      <w:pPr>
        <w:spacing w:after="0" w:line="240" w:lineRule="auto"/>
        <w:jc w:val="both"/>
        <w:rPr>
          <w:rFonts w:ascii="Arial" w:hAnsi="Arial" w:cs="Arial"/>
          <w:b/>
          <w:bCs/>
          <w:sz w:val="24"/>
          <w:szCs w:val="24"/>
        </w:rPr>
      </w:pPr>
    </w:p>
    <w:p w14:paraId="3E39F8CA" w14:textId="63620AA7" w:rsidR="00DF6C29"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 xml:space="preserve">CUARTO. </w:t>
      </w:r>
      <w:r w:rsidRPr="004A3E32">
        <w:rPr>
          <w:rFonts w:ascii="Arial" w:hAnsi="Arial" w:cs="Arial"/>
          <w:sz w:val="24"/>
          <w:szCs w:val="24"/>
        </w:rPr>
        <w:t>No dar por demostrado, estándolo, que únicamente obraba prueba específica de pagos a Francisco Javier Arenas Fonseca a partir de marzo de 2006, sin soporte cierto e individualizado respecto de las sumas percibidas por Ana Lucila Fonseca de Arenas.</w:t>
      </w:r>
    </w:p>
    <w:p w14:paraId="55411248" w14:textId="77777777" w:rsidR="004A3E32" w:rsidRDefault="004A3E32" w:rsidP="00DF6C29">
      <w:pPr>
        <w:spacing w:after="0" w:line="240" w:lineRule="auto"/>
        <w:jc w:val="both"/>
        <w:rPr>
          <w:rFonts w:ascii="Arial" w:hAnsi="Arial" w:cs="Arial"/>
          <w:b/>
          <w:bCs/>
          <w:sz w:val="24"/>
          <w:szCs w:val="24"/>
        </w:rPr>
      </w:pPr>
    </w:p>
    <w:p w14:paraId="510A3B58" w14:textId="28A4CC5F"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PRUEBAS CALIFICADAS INDEBIDAMENTE APRECIADAS</w:t>
      </w:r>
    </w:p>
    <w:p w14:paraId="10937045" w14:textId="77777777" w:rsidR="00DF6C29" w:rsidRPr="00DF6C29" w:rsidRDefault="00DF6C29" w:rsidP="00DF6C29">
      <w:pPr>
        <w:spacing w:after="0" w:line="240" w:lineRule="auto"/>
        <w:jc w:val="both"/>
        <w:rPr>
          <w:rFonts w:ascii="Arial" w:hAnsi="Arial" w:cs="Arial"/>
          <w:sz w:val="24"/>
          <w:szCs w:val="24"/>
        </w:rPr>
      </w:pPr>
    </w:p>
    <w:p w14:paraId="08BD7F26" w14:textId="5CFC1CEE" w:rsidR="004A3E32" w:rsidRDefault="004A3E32" w:rsidP="004A3E32">
      <w:pPr>
        <w:spacing w:after="0" w:line="240" w:lineRule="auto"/>
        <w:jc w:val="both"/>
        <w:rPr>
          <w:rFonts w:ascii="Arial" w:hAnsi="Arial" w:cs="Arial"/>
          <w:sz w:val="24"/>
          <w:szCs w:val="24"/>
        </w:rPr>
      </w:pPr>
      <w:r>
        <w:rPr>
          <w:rFonts w:ascii="Arial" w:hAnsi="Arial" w:cs="Arial"/>
          <w:sz w:val="24"/>
          <w:szCs w:val="24"/>
        </w:rPr>
        <w:t xml:space="preserve">a) </w:t>
      </w:r>
      <w:r w:rsidRPr="004A3E32">
        <w:rPr>
          <w:rFonts w:ascii="Arial" w:hAnsi="Arial" w:cs="Arial"/>
          <w:sz w:val="24"/>
          <w:szCs w:val="24"/>
        </w:rPr>
        <w:t>La comunicación de 9 de agosto de 2000, visible en el Archivo 09 del cuaderno de primera instancia, mediante la cual AFP Porvenir S.A. informó el reconocimiento de la pensión de sobrevivientes a Ana Lucila Fonseca de Arenas, Francisco Javier Arenas Fonseca y Carlos Fernando Arenas Fonseca.</w:t>
      </w:r>
    </w:p>
    <w:p w14:paraId="254576F9" w14:textId="77777777" w:rsidR="004A3E32" w:rsidRPr="004A3E32" w:rsidRDefault="004A3E32" w:rsidP="004A3E32">
      <w:pPr>
        <w:spacing w:after="0" w:line="240" w:lineRule="auto"/>
        <w:jc w:val="both"/>
        <w:rPr>
          <w:rFonts w:ascii="Arial" w:hAnsi="Arial" w:cs="Arial"/>
          <w:sz w:val="24"/>
          <w:szCs w:val="24"/>
        </w:rPr>
      </w:pPr>
    </w:p>
    <w:p w14:paraId="43206F5C" w14:textId="2D2A2DE5" w:rsidR="00DF6C29" w:rsidRPr="00DF6C29" w:rsidRDefault="004A3E32" w:rsidP="004A3E32">
      <w:pPr>
        <w:spacing w:after="0" w:line="240" w:lineRule="auto"/>
        <w:jc w:val="both"/>
        <w:rPr>
          <w:rFonts w:ascii="Arial" w:hAnsi="Arial" w:cs="Arial"/>
          <w:sz w:val="24"/>
          <w:szCs w:val="24"/>
        </w:rPr>
      </w:pPr>
      <w:r>
        <w:rPr>
          <w:rFonts w:ascii="Arial" w:hAnsi="Arial" w:cs="Arial"/>
          <w:sz w:val="24"/>
          <w:szCs w:val="24"/>
        </w:rPr>
        <w:t xml:space="preserve">b) </w:t>
      </w:r>
      <w:r w:rsidRPr="004A3E32">
        <w:rPr>
          <w:rFonts w:ascii="Arial" w:hAnsi="Arial" w:cs="Arial"/>
          <w:sz w:val="24"/>
          <w:szCs w:val="24"/>
        </w:rPr>
        <w:t>La relación de pago de mesadas realizada por Seguros de Vida Alfa S.A., visible en el Archivo 16, folios 1 a 7, del cuaderno de primera instancia.</w:t>
      </w:r>
    </w:p>
    <w:p w14:paraId="4E5D0459" w14:textId="733FB96C"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lastRenderedPageBreak/>
        <w:t xml:space="preserve">B) </w:t>
      </w:r>
      <w:r w:rsidR="00DF6C29" w:rsidRPr="00E45319">
        <w:rPr>
          <w:rFonts w:ascii="Arial" w:hAnsi="Arial" w:cs="Arial"/>
          <w:b/>
          <w:bCs/>
          <w:sz w:val="24"/>
          <w:szCs w:val="24"/>
        </w:rPr>
        <w:t>DEMOSTRACIÓN</w:t>
      </w:r>
      <w:r>
        <w:rPr>
          <w:rFonts w:ascii="Arial" w:hAnsi="Arial" w:cs="Arial"/>
          <w:b/>
          <w:bCs/>
          <w:sz w:val="24"/>
          <w:szCs w:val="24"/>
        </w:rPr>
        <w:t>:</w:t>
      </w:r>
    </w:p>
    <w:p w14:paraId="617CA1B2" w14:textId="77777777" w:rsidR="00DF6C29" w:rsidRPr="00DF6C29" w:rsidRDefault="00DF6C29" w:rsidP="00DF6C29">
      <w:pPr>
        <w:spacing w:after="0" w:line="240" w:lineRule="auto"/>
        <w:jc w:val="both"/>
        <w:rPr>
          <w:rFonts w:ascii="Arial" w:hAnsi="Arial" w:cs="Arial"/>
          <w:sz w:val="24"/>
          <w:szCs w:val="24"/>
        </w:rPr>
      </w:pPr>
    </w:p>
    <w:p w14:paraId="593FE681"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El Tribunal ordenó a Francisco Javier Arenas Fonseca y a Carlos Fernando Arenas Fonseca, como personas naturales y como herederos determinados de Ana Lucila Fonseca de Arenas, así como a los herederos indeterminados de esta, reintegrar a AFP Porvenir S.A. los montos recibidos como mesadas pensionales con ocasión del fallecimiento de Francisco Antonio Arenas Aragón, con intereses de mora a partir de la ejecutoria de la sentencia.</w:t>
      </w:r>
    </w:p>
    <w:p w14:paraId="037AC5D9" w14:textId="77777777" w:rsidR="00373810" w:rsidRPr="00373810" w:rsidRDefault="00373810" w:rsidP="00373810">
      <w:pPr>
        <w:spacing w:after="0" w:line="240" w:lineRule="auto"/>
        <w:jc w:val="both"/>
        <w:rPr>
          <w:rFonts w:ascii="Arial" w:hAnsi="Arial" w:cs="Arial"/>
          <w:sz w:val="24"/>
          <w:szCs w:val="24"/>
        </w:rPr>
      </w:pPr>
    </w:p>
    <w:p w14:paraId="1804C74A"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Para arribar a esa conclusión acudió al artículo 2321 del Código Civil y, bajo su invocación, hizo operar la regla conforme a la cual quien ha realizado un pago que no debía puede repetir lo pagado. Sin embargo, aun dentro del marco normativo así asumido por el fallador, la procedencia de la restitución exigía que aparecieran demostrados, con apoyo en prueba calificada, dos supuestos fácticos indispensables: de una parte, que AFP Porvenir S.A. hubiese efectuado efectivamente los pagos cuya devolución pretendía; y de otra, que existiera certeza acerca de las sumas concretas cuya restitución se ordenaba. Ninguno de esos extremos quedó acreditado en debida forma dentro del proceso.</w:t>
      </w:r>
    </w:p>
    <w:p w14:paraId="0A5E10DE" w14:textId="77777777" w:rsidR="00373810" w:rsidRPr="00373810" w:rsidRDefault="00373810" w:rsidP="00373810">
      <w:pPr>
        <w:spacing w:after="0" w:line="240" w:lineRule="auto"/>
        <w:jc w:val="both"/>
        <w:rPr>
          <w:rFonts w:ascii="Arial" w:hAnsi="Arial" w:cs="Arial"/>
          <w:sz w:val="24"/>
          <w:szCs w:val="24"/>
        </w:rPr>
      </w:pPr>
    </w:p>
    <w:p w14:paraId="55B9C3DA"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En efecto, la comunicación de 9 de agosto de 2000 demuestra que AFP Porvenir S.A. reconoció la pensión de sobrevivientes a favor de Ana Lucila Fonseca de Arenas y de sus hijos. Pero de ese documento no se sigue, por sí solo, que la misma administradora hubiera pagado materialmente la totalidad de las mesadas cuya restitución ordenó el fallo. Una cosa es el acto de reconocimiento del derecho y otra, distinta, la prueba concreta del pago efectivo de todas las prestaciones periódicas cuya devolución se reclama. El Tribunal, al extraer de esa documental la conclusión de que Porvenir fue la pagadora de las sumas objeto de repetición, le atribuyó un alcance demostrativo que objetivamente no contiene.</w:t>
      </w:r>
    </w:p>
    <w:p w14:paraId="529B6CAB" w14:textId="77777777" w:rsidR="00373810" w:rsidRPr="00373810" w:rsidRDefault="00373810" w:rsidP="00373810">
      <w:pPr>
        <w:spacing w:after="0" w:line="240" w:lineRule="auto"/>
        <w:jc w:val="both"/>
        <w:rPr>
          <w:rFonts w:ascii="Arial" w:hAnsi="Arial" w:cs="Arial"/>
          <w:sz w:val="24"/>
          <w:szCs w:val="24"/>
        </w:rPr>
      </w:pPr>
    </w:p>
    <w:p w14:paraId="2FA4BA3B"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De otra parte, la relación de pago de mesadas visible en el Archivo 16, folios 1 a 7, fue expresamente identificada por el Tribunal como documental relativa a pagos realizados por Seguros de Vida Alfa S.A. Esa prueba era decisiva para establecer quién aparece, en la materialidad del expediente, como pagador de las mesadas cuya restitución se dispuso. No obstante, el sentenciador desatendió su fuerza demostrativa y, pese a ella, concluyó que el reintegro debía hacerse a favor de Porvenir como si estuviera probado que esta fue la entidad que efectuó los pagos.</w:t>
      </w:r>
    </w:p>
    <w:p w14:paraId="5D8948AA" w14:textId="77777777" w:rsidR="00373810" w:rsidRPr="00373810" w:rsidRDefault="00373810" w:rsidP="00373810">
      <w:pPr>
        <w:spacing w:after="0" w:line="240" w:lineRule="auto"/>
        <w:jc w:val="both"/>
        <w:rPr>
          <w:rFonts w:ascii="Arial" w:hAnsi="Arial" w:cs="Arial"/>
          <w:sz w:val="24"/>
          <w:szCs w:val="24"/>
        </w:rPr>
      </w:pPr>
    </w:p>
    <w:p w14:paraId="76B59CC9"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La insuficiencia probatoria se hace aún más ostensible porque el propio Tribunal admitió expresamente que solo obraba prueba del valor de mesadas canceladas a Francisco Javier Arenas Fonseca a partir de marzo de 2006, y que se ignoraba el monto de lo cancelado en su momento a Ana Lucila Fonseca de Arenas. A pesar de esa constatación, no limitó la condena a lo efectivamente demostrado, sino que ordenó en forma general a los demandados y herederos reintegrar a Porvenir “los montos recibidos como mesadas pensionales”, con una extensión abierta que carece de soporte documental suficiente en el expediente.</w:t>
      </w:r>
    </w:p>
    <w:p w14:paraId="304CD4F7" w14:textId="77777777" w:rsidR="00373810" w:rsidRPr="00373810" w:rsidRDefault="00373810" w:rsidP="00373810">
      <w:pPr>
        <w:spacing w:after="0" w:line="240" w:lineRule="auto"/>
        <w:jc w:val="both"/>
        <w:rPr>
          <w:rFonts w:ascii="Arial" w:hAnsi="Arial" w:cs="Arial"/>
          <w:sz w:val="24"/>
          <w:szCs w:val="24"/>
        </w:rPr>
      </w:pPr>
    </w:p>
    <w:p w14:paraId="0E92CAA5"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lastRenderedPageBreak/>
        <w:t>Es decir, el Tribunal pasó de una prueba parcial y restringida a una condena general y abarcadora, sin contar con acreditación bastante ni sobre el pagador real de todas las mesadas ni sobre el quantum cierto e individualizado de lo que debía ser restituido por cada uno de los obligados. Y ese salto inferencial fue precisamente el que tornó indebida la aplicación del artículo 2321 del Código Civil en los términos del fallo.</w:t>
      </w:r>
    </w:p>
    <w:p w14:paraId="3074D749" w14:textId="77777777" w:rsidR="00373810" w:rsidRPr="00373810" w:rsidRDefault="00373810" w:rsidP="00373810">
      <w:pPr>
        <w:spacing w:after="0" w:line="240" w:lineRule="auto"/>
        <w:jc w:val="both"/>
        <w:rPr>
          <w:rFonts w:ascii="Arial" w:hAnsi="Arial" w:cs="Arial"/>
          <w:sz w:val="24"/>
          <w:szCs w:val="24"/>
        </w:rPr>
      </w:pPr>
    </w:p>
    <w:p w14:paraId="0D73DFF8" w14:textId="77777777" w:rsidR="00373810" w:rsidRPr="00373810" w:rsidRDefault="00373810" w:rsidP="00373810">
      <w:pPr>
        <w:spacing w:after="0" w:line="240" w:lineRule="auto"/>
        <w:jc w:val="both"/>
        <w:rPr>
          <w:rFonts w:ascii="Arial" w:hAnsi="Arial" w:cs="Arial"/>
          <w:sz w:val="24"/>
          <w:szCs w:val="24"/>
        </w:rPr>
      </w:pPr>
      <w:r w:rsidRPr="00373810">
        <w:rPr>
          <w:rFonts w:ascii="Arial" w:hAnsi="Arial" w:cs="Arial"/>
          <w:sz w:val="24"/>
          <w:szCs w:val="24"/>
        </w:rPr>
        <w:t>Si el Tribunal hubiera apreciado correctamente la prueba calificada denunciada, no habría podido concluir, con el grado de certeza exigible, ni que AFP Porvenir S.A. fue quien pagó las sumas cuya devolución persigue, ni que se encontraba plenamente determinado el monto total de las mesadas cuya restitución impuso. En esas condiciones, no era jurídicamente viable hacer operar el artículo 2321 del Código Civil del modo en que lo hizo.</w:t>
      </w:r>
    </w:p>
    <w:p w14:paraId="3163D568" w14:textId="77777777" w:rsidR="00373810" w:rsidRPr="00373810" w:rsidRDefault="00373810" w:rsidP="00373810">
      <w:pPr>
        <w:spacing w:after="0" w:line="240" w:lineRule="auto"/>
        <w:jc w:val="both"/>
        <w:rPr>
          <w:rFonts w:ascii="Arial" w:hAnsi="Arial" w:cs="Arial"/>
          <w:sz w:val="24"/>
          <w:szCs w:val="24"/>
        </w:rPr>
      </w:pPr>
    </w:p>
    <w:p w14:paraId="32598318" w14:textId="5DFEC5FB" w:rsidR="004A3E32" w:rsidRDefault="00373810" w:rsidP="00373810">
      <w:pPr>
        <w:spacing w:after="0" w:line="240" w:lineRule="auto"/>
        <w:jc w:val="both"/>
        <w:rPr>
          <w:rFonts w:ascii="Arial" w:hAnsi="Arial" w:cs="Arial"/>
          <w:sz w:val="24"/>
          <w:szCs w:val="24"/>
        </w:rPr>
      </w:pPr>
      <w:r w:rsidRPr="00373810">
        <w:rPr>
          <w:rFonts w:ascii="Arial" w:hAnsi="Arial" w:cs="Arial"/>
          <w:sz w:val="24"/>
          <w:szCs w:val="24"/>
        </w:rPr>
        <w:t>De allí que la sentencia aplicó indebidamente dicha norma sustancial, por haber hecho descansar la condena restitutoria en supuestos fácticos que no quedaron demostrados en debida forma con prueba calificada.</w:t>
      </w:r>
    </w:p>
    <w:p w14:paraId="597E003D" w14:textId="77777777" w:rsidR="00373810" w:rsidRPr="00DF6C29" w:rsidRDefault="00373810" w:rsidP="00373810">
      <w:pPr>
        <w:spacing w:after="0" w:line="240" w:lineRule="auto"/>
        <w:jc w:val="both"/>
        <w:rPr>
          <w:rFonts w:ascii="Arial" w:hAnsi="Arial" w:cs="Arial"/>
          <w:sz w:val="24"/>
          <w:szCs w:val="24"/>
        </w:rPr>
      </w:pPr>
    </w:p>
    <w:p w14:paraId="2AC950E4" w14:textId="34235560"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SEGUNDO</w:t>
      </w:r>
    </w:p>
    <w:p w14:paraId="0830F43A" w14:textId="77777777" w:rsidR="00DF6C29" w:rsidRPr="00DF6C29" w:rsidRDefault="00DF6C29" w:rsidP="00DF6C29">
      <w:pPr>
        <w:spacing w:after="0" w:line="240" w:lineRule="auto"/>
        <w:jc w:val="both"/>
        <w:rPr>
          <w:rFonts w:ascii="Arial" w:hAnsi="Arial" w:cs="Arial"/>
          <w:sz w:val="24"/>
          <w:szCs w:val="24"/>
        </w:rPr>
      </w:pPr>
    </w:p>
    <w:p w14:paraId="1CB8BC52" w14:textId="507BF85F" w:rsidR="004A3E32" w:rsidRDefault="00373810" w:rsidP="00DF6C29">
      <w:pPr>
        <w:spacing w:after="0" w:line="240" w:lineRule="auto"/>
        <w:jc w:val="both"/>
        <w:rPr>
          <w:rFonts w:ascii="Arial" w:hAnsi="Arial" w:cs="Arial"/>
          <w:sz w:val="24"/>
          <w:szCs w:val="24"/>
        </w:rPr>
      </w:pPr>
      <w:r w:rsidRPr="00373810">
        <w:rPr>
          <w:rFonts w:ascii="Arial" w:hAnsi="Arial" w:cs="Arial"/>
          <w:sz w:val="24"/>
          <w:szCs w:val="24"/>
        </w:rPr>
        <w:t>Por lo expuesto, solicito a la Honorable Corte casar parcialmente la sentencia impugnada, exclusivamente en cuanto ordenó el reintegro de las mesadas pensionales, el pago de intereses de mora y la condena en costas de primera instancia a cargo de la parte demandada, para que, en sede de instancia, se revoquen esas condenas.</w:t>
      </w:r>
    </w:p>
    <w:p w14:paraId="3A1013F2" w14:textId="77777777" w:rsidR="00373810" w:rsidRPr="00DF6C29" w:rsidRDefault="00373810" w:rsidP="00DF6C29">
      <w:pPr>
        <w:spacing w:after="0" w:line="240" w:lineRule="auto"/>
        <w:jc w:val="both"/>
        <w:rPr>
          <w:rFonts w:ascii="Arial" w:hAnsi="Arial" w:cs="Arial"/>
          <w:sz w:val="24"/>
          <w:szCs w:val="24"/>
        </w:rPr>
      </w:pPr>
    </w:p>
    <w:p w14:paraId="50259324" w14:textId="5D335AC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4.</w:t>
      </w:r>
      <w:r w:rsidR="00DF6C29" w:rsidRPr="00E45319">
        <w:rPr>
          <w:rFonts w:ascii="Arial" w:hAnsi="Arial" w:cs="Arial"/>
          <w:b/>
          <w:bCs/>
          <w:sz w:val="24"/>
          <w:szCs w:val="24"/>
        </w:rPr>
        <w:t xml:space="preserve"> PETICIÓN</w:t>
      </w:r>
    </w:p>
    <w:p w14:paraId="4C8AB487" w14:textId="77777777" w:rsidR="00DF6C29" w:rsidRPr="00DF6C29" w:rsidRDefault="00DF6C29" w:rsidP="00DF6C29">
      <w:pPr>
        <w:spacing w:after="0" w:line="240" w:lineRule="auto"/>
        <w:jc w:val="both"/>
        <w:rPr>
          <w:rFonts w:ascii="Arial" w:hAnsi="Arial" w:cs="Arial"/>
          <w:sz w:val="24"/>
          <w:szCs w:val="24"/>
        </w:rPr>
      </w:pPr>
    </w:p>
    <w:p w14:paraId="229B4656" w14:textId="3FEFAC53"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 xml:space="preserve">PRIMERO. </w:t>
      </w:r>
      <w:r w:rsidRPr="004A3E32">
        <w:rPr>
          <w:rFonts w:ascii="Arial" w:hAnsi="Arial" w:cs="Arial"/>
          <w:sz w:val="24"/>
          <w:szCs w:val="24"/>
        </w:rPr>
        <w:t xml:space="preserve">Que se </w:t>
      </w:r>
      <w:r w:rsidRPr="004A3E32">
        <w:rPr>
          <w:rFonts w:ascii="Arial" w:hAnsi="Arial" w:cs="Arial"/>
          <w:b/>
          <w:bCs/>
          <w:sz w:val="24"/>
          <w:szCs w:val="24"/>
        </w:rPr>
        <w:t>CASE TOTALMENTE</w:t>
      </w:r>
      <w:r w:rsidRPr="004A3E32">
        <w:rPr>
          <w:rFonts w:ascii="Arial" w:hAnsi="Arial" w:cs="Arial"/>
          <w:sz w:val="24"/>
          <w:szCs w:val="24"/>
        </w:rPr>
        <w:t xml:space="preserve"> la sentencia proferida por la Sala Laboral del Tribunal Superior del Distrito Judicial de Tunja el treinta y uno (31) de octubre de dos mil veinticinco (2025), dentro del proceso ordinario laboral No. 150013105001202200022-01, radicación interna 2024-1601.</w:t>
      </w:r>
    </w:p>
    <w:p w14:paraId="39E605EB" w14:textId="77777777" w:rsidR="004A3E32" w:rsidRPr="004A3E32" w:rsidRDefault="004A3E32" w:rsidP="004A3E32">
      <w:pPr>
        <w:spacing w:after="0" w:line="240" w:lineRule="auto"/>
        <w:jc w:val="both"/>
        <w:rPr>
          <w:rFonts w:ascii="Arial" w:hAnsi="Arial" w:cs="Arial"/>
          <w:b/>
          <w:bCs/>
          <w:sz w:val="24"/>
          <w:szCs w:val="24"/>
        </w:rPr>
      </w:pPr>
    </w:p>
    <w:p w14:paraId="487DD672" w14:textId="2CCCF9AC"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 xml:space="preserve">SEGUNDO. </w:t>
      </w:r>
      <w:r w:rsidRPr="004A3E32">
        <w:rPr>
          <w:rFonts w:ascii="Arial" w:hAnsi="Arial" w:cs="Arial"/>
          <w:sz w:val="24"/>
          <w:szCs w:val="24"/>
        </w:rPr>
        <w:t xml:space="preserve">Que, en sede de instancia, se </w:t>
      </w:r>
      <w:r w:rsidRPr="004A3E32">
        <w:rPr>
          <w:rFonts w:ascii="Arial" w:hAnsi="Arial" w:cs="Arial"/>
          <w:b/>
          <w:bCs/>
          <w:sz w:val="24"/>
          <w:szCs w:val="24"/>
        </w:rPr>
        <w:t>CONFIRME</w:t>
      </w:r>
      <w:r w:rsidRPr="004A3E32">
        <w:rPr>
          <w:rFonts w:ascii="Arial" w:hAnsi="Arial" w:cs="Arial"/>
          <w:sz w:val="24"/>
          <w:szCs w:val="24"/>
        </w:rPr>
        <w:t xml:space="preserve"> íntegramente la sentencia del Juzgado Primero Laboral del Circuito de Tunja del veinticinco (25) de noviembre de dos mil veinticuatro (2024), inclusive en lo relativo a la condena en costas impuesta a la parte actora.</w:t>
      </w:r>
    </w:p>
    <w:p w14:paraId="1E98B798" w14:textId="77777777" w:rsidR="004A3E32" w:rsidRPr="004A3E32" w:rsidRDefault="004A3E32" w:rsidP="004A3E32">
      <w:pPr>
        <w:spacing w:after="0" w:line="240" w:lineRule="auto"/>
        <w:jc w:val="both"/>
        <w:rPr>
          <w:rFonts w:ascii="Arial" w:hAnsi="Arial" w:cs="Arial"/>
          <w:b/>
          <w:bCs/>
          <w:sz w:val="24"/>
          <w:szCs w:val="24"/>
        </w:rPr>
      </w:pPr>
    </w:p>
    <w:p w14:paraId="251BED4D" w14:textId="79333F04" w:rsidR="00E45319"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 xml:space="preserve">TERCERO. </w:t>
      </w:r>
      <w:r w:rsidRPr="004A3E32">
        <w:rPr>
          <w:rFonts w:ascii="Arial" w:hAnsi="Arial" w:cs="Arial"/>
          <w:sz w:val="24"/>
          <w:szCs w:val="24"/>
        </w:rPr>
        <w:t xml:space="preserve">Subsidiariamente, en caso de prosperar únicamente el cargo segundo, que se </w:t>
      </w:r>
      <w:r w:rsidRPr="004A3E32">
        <w:rPr>
          <w:rFonts w:ascii="Arial" w:hAnsi="Arial" w:cs="Arial"/>
          <w:b/>
          <w:bCs/>
          <w:sz w:val="24"/>
          <w:szCs w:val="24"/>
        </w:rPr>
        <w:t>CASE PARCIALMENTE</w:t>
      </w:r>
      <w:r w:rsidRPr="004A3E32">
        <w:rPr>
          <w:rFonts w:ascii="Arial" w:hAnsi="Arial" w:cs="Arial"/>
          <w:sz w:val="24"/>
          <w:szCs w:val="24"/>
        </w:rPr>
        <w:t xml:space="preserve"> la sentencia impugnada en cuanto ordenó el reintegro de mesadas, los intereses de mora y las costas de primera instancia a cargo de la parte demandada, para que, en sede de instancia, se REVOQUEN esas condenas.</w:t>
      </w:r>
    </w:p>
    <w:p w14:paraId="64323D1B" w14:textId="77777777" w:rsidR="00373810" w:rsidRDefault="00373810" w:rsidP="004A3E32">
      <w:pPr>
        <w:spacing w:after="0" w:line="240" w:lineRule="auto"/>
        <w:jc w:val="both"/>
        <w:rPr>
          <w:rFonts w:ascii="Arial" w:hAnsi="Arial" w:cs="Arial"/>
          <w:sz w:val="24"/>
          <w:szCs w:val="24"/>
        </w:rPr>
      </w:pPr>
    </w:p>
    <w:p w14:paraId="3D5C2772" w14:textId="77777777" w:rsidR="00373810" w:rsidRDefault="00373810" w:rsidP="004A3E32">
      <w:pPr>
        <w:spacing w:after="0" w:line="240" w:lineRule="auto"/>
        <w:jc w:val="both"/>
        <w:rPr>
          <w:rFonts w:ascii="Arial" w:hAnsi="Arial" w:cs="Arial"/>
          <w:sz w:val="24"/>
          <w:szCs w:val="24"/>
        </w:rPr>
      </w:pPr>
    </w:p>
    <w:p w14:paraId="320F69E5" w14:textId="77777777" w:rsidR="00373810" w:rsidRDefault="00373810" w:rsidP="004A3E32">
      <w:pPr>
        <w:spacing w:after="0" w:line="240" w:lineRule="auto"/>
        <w:jc w:val="both"/>
        <w:rPr>
          <w:rFonts w:ascii="Arial" w:hAnsi="Arial" w:cs="Arial"/>
          <w:b/>
          <w:bCs/>
          <w:sz w:val="24"/>
          <w:szCs w:val="24"/>
        </w:rPr>
      </w:pPr>
    </w:p>
    <w:p w14:paraId="22C5EA16" w14:textId="77777777" w:rsidR="00E45319" w:rsidRDefault="00E45319" w:rsidP="00DF6C29">
      <w:pPr>
        <w:spacing w:after="0" w:line="240" w:lineRule="auto"/>
        <w:jc w:val="both"/>
        <w:rPr>
          <w:rFonts w:ascii="Arial" w:hAnsi="Arial" w:cs="Arial"/>
          <w:b/>
          <w:bCs/>
          <w:sz w:val="24"/>
          <w:szCs w:val="24"/>
        </w:rPr>
      </w:pPr>
    </w:p>
    <w:p w14:paraId="05BD0168" w14:textId="3B6B69C8"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lastRenderedPageBreak/>
        <w:t>IX. NOTIFICACIONES</w:t>
      </w:r>
    </w:p>
    <w:p w14:paraId="3EEB970C" w14:textId="77777777" w:rsidR="00DF6C29" w:rsidRPr="00DF6C29" w:rsidRDefault="00DF6C29" w:rsidP="00DF6C29">
      <w:pPr>
        <w:spacing w:after="0" w:line="240" w:lineRule="auto"/>
        <w:jc w:val="both"/>
        <w:rPr>
          <w:rFonts w:ascii="Arial" w:hAnsi="Arial" w:cs="Arial"/>
          <w:sz w:val="24"/>
          <w:szCs w:val="24"/>
        </w:rPr>
      </w:pPr>
    </w:p>
    <w:p w14:paraId="6F0E7DE6"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El suscrito apoderado judicial recibe notificaciones en la Carrera 1F No. 40-149 de Tunja, Boyacá, en el correo electrónico chbm51@gmail.com</w:t>
      </w:r>
    </w:p>
    <w:p w14:paraId="1A00D8E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 y en el abonado telefónico 319 638 9030.</w:t>
      </w:r>
    </w:p>
    <w:p w14:paraId="2D8D71E1" w14:textId="77777777" w:rsidR="00DF6C29" w:rsidRPr="00DF6C29" w:rsidRDefault="00DF6C29" w:rsidP="00DF6C29">
      <w:pPr>
        <w:spacing w:after="0" w:line="240" w:lineRule="auto"/>
        <w:jc w:val="both"/>
        <w:rPr>
          <w:rFonts w:ascii="Arial" w:hAnsi="Arial" w:cs="Arial"/>
          <w:sz w:val="24"/>
          <w:szCs w:val="24"/>
        </w:rPr>
      </w:pPr>
    </w:p>
    <w:p w14:paraId="2656906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Las demás partes reciben notificaciones en las direcciones físicas y electrónicas que obran en el expediente.</w:t>
      </w:r>
    </w:p>
    <w:p w14:paraId="61EF1DE1" w14:textId="77777777" w:rsidR="00DF6C29" w:rsidRPr="00DF6C29" w:rsidRDefault="00DF6C29" w:rsidP="00DF6C29">
      <w:pPr>
        <w:spacing w:after="0" w:line="240" w:lineRule="auto"/>
        <w:jc w:val="both"/>
        <w:rPr>
          <w:rFonts w:ascii="Arial" w:hAnsi="Arial" w:cs="Arial"/>
          <w:sz w:val="24"/>
          <w:szCs w:val="24"/>
        </w:rPr>
      </w:pPr>
    </w:p>
    <w:p w14:paraId="2D5A25B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En cumplimiento de lo dispuesto en el numeral 14 del artículo 78 del Código General del Proceso, en concordancia con la Ley 2213 de 2022, manifiesto que la presente demanda se comparte a las direcciones electrónicas que se conocen de las partes y de sus apoderados, conforme constan en el expediente.</w:t>
      </w:r>
    </w:p>
    <w:p w14:paraId="7666BE2A" w14:textId="77777777" w:rsidR="00DF6C29" w:rsidRPr="00DF6C29" w:rsidRDefault="00DF6C29" w:rsidP="00DF6C29">
      <w:pPr>
        <w:spacing w:after="0" w:line="240" w:lineRule="auto"/>
        <w:jc w:val="both"/>
        <w:rPr>
          <w:rFonts w:ascii="Arial" w:hAnsi="Arial" w:cs="Arial"/>
          <w:sz w:val="24"/>
          <w:szCs w:val="24"/>
        </w:rPr>
      </w:pPr>
    </w:p>
    <w:p w14:paraId="611A0EDA" w14:textId="77777777" w:rsidR="00DF6C29" w:rsidRPr="00DF6C29" w:rsidRDefault="00DF6C29" w:rsidP="00DF6C29">
      <w:pPr>
        <w:spacing w:after="0" w:line="240" w:lineRule="auto"/>
        <w:jc w:val="both"/>
        <w:rPr>
          <w:rFonts w:ascii="Arial" w:hAnsi="Arial" w:cs="Arial"/>
          <w:sz w:val="24"/>
          <w:szCs w:val="24"/>
        </w:rPr>
      </w:pPr>
    </w:p>
    <w:p w14:paraId="3FB8A73F" w14:textId="77777777" w:rsid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Cordialmente,</w:t>
      </w:r>
    </w:p>
    <w:p w14:paraId="76710A40" w14:textId="77777777" w:rsidR="00D943F4" w:rsidRDefault="00D943F4" w:rsidP="00DF6C29">
      <w:pPr>
        <w:spacing w:after="0" w:line="240" w:lineRule="auto"/>
        <w:jc w:val="both"/>
        <w:rPr>
          <w:rFonts w:ascii="Arial" w:hAnsi="Arial" w:cs="Arial"/>
          <w:sz w:val="24"/>
          <w:szCs w:val="24"/>
        </w:rPr>
      </w:pPr>
    </w:p>
    <w:p w14:paraId="33C660FF" w14:textId="77777777" w:rsidR="00D943F4" w:rsidRPr="00DF6C29" w:rsidRDefault="00D943F4" w:rsidP="00DF6C29">
      <w:pPr>
        <w:spacing w:after="0" w:line="240" w:lineRule="auto"/>
        <w:jc w:val="both"/>
        <w:rPr>
          <w:rFonts w:ascii="Arial" w:hAnsi="Arial" w:cs="Arial"/>
          <w:sz w:val="24"/>
          <w:szCs w:val="24"/>
        </w:rPr>
      </w:pPr>
    </w:p>
    <w:p w14:paraId="29F504DD" w14:textId="77777777" w:rsidR="00DF6C29" w:rsidRPr="00DF6C29" w:rsidRDefault="00DF6C29" w:rsidP="00DF6C29">
      <w:pPr>
        <w:spacing w:after="0" w:line="240" w:lineRule="auto"/>
        <w:jc w:val="both"/>
        <w:rPr>
          <w:rFonts w:ascii="Arial" w:hAnsi="Arial" w:cs="Arial"/>
          <w:sz w:val="24"/>
          <w:szCs w:val="24"/>
        </w:rPr>
      </w:pPr>
    </w:p>
    <w:p w14:paraId="37C8581F" w14:textId="77777777" w:rsidR="00DF6C29" w:rsidRPr="00D943F4" w:rsidRDefault="00DF6C29" w:rsidP="00DF6C29">
      <w:pPr>
        <w:spacing w:after="0" w:line="240" w:lineRule="auto"/>
        <w:jc w:val="both"/>
        <w:rPr>
          <w:rFonts w:ascii="Arial" w:hAnsi="Arial" w:cs="Arial"/>
          <w:b/>
          <w:bCs/>
          <w:sz w:val="24"/>
          <w:szCs w:val="24"/>
        </w:rPr>
      </w:pPr>
      <w:r w:rsidRPr="00D943F4">
        <w:rPr>
          <w:rFonts w:ascii="Arial" w:hAnsi="Arial" w:cs="Arial"/>
          <w:b/>
          <w:bCs/>
          <w:sz w:val="24"/>
          <w:szCs w:val="24"/>
        </w:rPr>
        <w:t>CARLOS HAROLDO BERMÚDEZ MARTÍNEZ</w:t>
      </w:r>
    </w:p>
    <w:p w14:paraId="1BE95BD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C.C. No. 7.164.979</w:t>
      </w:r>
    </w:p>
    <w:p w14:paraId="47F37299" w14:textId="6274A131" w:rsidR="009573A5"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T.P. No. 269.131 del C. S. de la J.</w:t>
      </w:r>
    </w:p>
    <w:sectPr w:rsidR="009573A5" w:rsidRPr="00DF6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76C33"/>
    <w:multiLevelType w:val="multilevel"/>
    <w:tmpl w:val="8488D6D8"/>
    <w:lvl w:ilvl="0">
      <w:start w:val="1"/>
      <w:numFmt w:val="decimal"/>
      <w:lvlText w:val="%1."/>
      <w:lvlJc w:val="left"/>
      <w:pPr>
        <w:ind w:left="360" w:hanging="360"/>
      </w:pPr>
      <w:rPr>
        <w:rFonts w:hint="default"/>
        <w:b/>
        <w:bCs/>
      </w:rPr>
    </w:lvl>
    <w:lvl w:ilvl="1">
      <w:start w:val="1"/>
      <w:numFmt w:val="decimal"/>
      <w:isLgl/>
      <w:lvlText w:val="%1.%2."/>
      <w:lvlJc w:val="left"/>
      <w:pPr>
        <w:ind w:left="1146" w:hanging="720"/>
      </w:pPr>
      <w:rPr>
        <w:rFonts w:hint="default"/>
        <w:b/>
        <w:bCs/>
      </w:rPr>
    </w:lvl>
    <w:lvl w:ilvl="2">
      <w:start w:val="1"/>
      <w:numFmt w:val="decimal"/>
      <w:isLgl/>
      <w:lvlText w:val="%1.%2.%3."/>
      <w:lvlJc w:val="left"/>
      <w:pPr>
        <w:ind w:left="1506" w:hanging="1080"/>
      </w:pPr>
      <w:rPr>
        <w:rFonts w:hint="default"/>
        <w:b/>
        <w:bCs/>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44C44A87"/>
    <w:multiLevelType w:val="hybridMultilevel"/>
    <w:tmpl w:val="CBE6D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383063"/>
    <w:multiLevelType w:val="multilevel"/>
    <w:tmpl w:val="2B40804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822618636">
    <w:abstractNumId w:val="1"/>
  </w:num>
  <w:num w:numId="2" w16cid:durableId="511066640">
    <w:abstractNumId w:val="0"/>
  </w:num>
  <w:num w:numId="3" w16cid:durableId="56730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29"/>
    <w:rsid w:val="000C007B"/>
    <w:rsid w:val="00103DCE"/>
    <w:rsid w:val="002557D0"/>
    <w:rsid w:val="002712C2"/>
    <w:rsid w:val="003705F4"/>
    <w:rsid w:val="00373810"/>
    <w:rsid w:val="00433066"/>
    <w:rsid w:val="004777D6"/>
    <w:rsid w:val="00492B31"/>
    <w:rsid w:val="004A3E32"/>
    <w:rsid w:val="004C6C32"/>
    <w:rsid w:val="005B289B"/>
    <w:rsid w:val="005E69D8"/>
    <w:rsid w:val="008F231F"/>
    <w:rsid w:val="009573A5"/>
    <w:rsid w:val="00981A58"/>
    <w:rsid w:val="00982DA9"/>
    <w:rsid w:val="00A01FBB"/>
    <w:rsid w:val="00A52F1A"/>
    <w:rsid w:val="00C1262F"/>
    <w:rsid w:val="00CD74A5"/>
    <w:rsid w:val="00CF68CD"/>
    <w:rsid w:val="00D943F4"/>
    <w:rsid w:val="00DF6C29"/>
    <w:rsid w:val="00E45319"/>
    <w:rsid w:val="00F27D0D"/>
    <w:rsid w:val="00FE3F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C9CA"/>
  <w15:chartTrackingRefBased/>
  <w15:docId w15:val="{4470A6E5-BCF3-4B5F-BE87-6C3DF80B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6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6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6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6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6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C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6C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6C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6C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6C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6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C29"/>
    <w:rPr>
      <w:rFonts w:eastAsiaTheme="majorEastAsia" w:cstheme="majorBidi"/>
      <w:color w:val="272727" w:themeColor="text1" w:themeTint="D8"/>
    </w:rPr>
  </w:style>
  <w:style w:type="paragraph" w:styleId="Ttulo">
    <w:name w:val="Title"/>
    <w:basedOn w:val="Normal"/>
    <w:next w:val="Normal"/>
    <w:link w:val="TtuloCar"/>
    <w:uiPriority w:val="10"/>
    <w:qFormat/>
    <w:rsid w:val="00DF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C29"/>
    <w:pPr>
      <w:spacing w:before="160"/>
      <w:jc w:val="center"/>
    </w:pPr>
    <w:rPr>
      <w:i/>
      <w:iCs/>
      <w:color w:val="404040" w:themeColor="text1" w:themeTint="BF"/>
    </w:rPr>
  </w:style>
  <w:style w:type="character" w:customStyle="1" w:styleId="CitaCar">
    <w:name w:val="Cita Car"/>
    <w:basedOn w:val="Fuentedeprrafopredeter"/>
    <w:link w:val="Cita"/>
    <w:uiPriority w:val="29"/>
    <w:rsid w:val="00DF6C29"/>
    <w:rPr>
      <w:i/>
      <w:iCs/>
      <w:color w:val="404040" w:themeColor="text1" w:themeTint="BF"/>
    </w:rPr>
  </w:style>
  <w:style w:type="paragraph" w:styleId="Prrafodelista">
    <w:name w:val="List Paragraph"/>
    <w:basedOn w:val="Normal"/>
    <w:uiPriority w:val="34"/>
    <w:qFormat/>
    <w:rsid w:val="00DF6C29"/>
    <w:pPr>
      <w:ind w:left="720"/>
      <w:contextualSpacing/>
    </w:pPr>
  </w:style>
  <w:style w:type="character" w:styleId="nfasisintenso">
    <w:name w:val="Intense Emphasis"/>
    <w:basedOn w:val="Fuentedeprrafopredeter"/>
    <w:uiPriority w:val="21"/>
    <w:qFormat/>
    <w:rsid w:val="00DF6C29"/>
    <w:rPr>
      <w:i/>
      <w:iCs/>
      <w:color w:val="2F5496" w:themeColor="accent1" w:themeShade="BF"/>
    </w:rPr>
  </w:style>
  <w:style w:type="paragraph" w:styleId="Citadestacada">
    <w:name w:val="Intense Quote"/>
    <w:basedOn w:val="Normal"/>
    <w:next w:val="Normal"/>
    <w:link w:val="CitadestacadaCar"/>
    <w:uiPriority w:val="30"/>
    <w:qFormat/>
    <w:rsid w:val="00DF6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6C29"/>
    <w:rPr>
      <w:i/>
      <w:iCs/>
      <w:color w:val="2F5496" w:themeColor="accent1" w:themeShade="BF"/>
    </w:rPr>
  </w:style>
  <w:style w:type="character" w:styleId="Referenciaintensa">
    <w:name w:val="Intense Reference"/>
    <w:basedOn w:val="Fuentedeprrafopredeter"/>
    <w:uiPriority w:val="32"/>
    <w:qFormat/>
    <w:rsid w:val="00DF6C29"/>
    <w:rPr>
      <w:b/>
      <w:bCs/>
      <w:smallCaps/>
      <w:color w:val="2F5496" w:themeColor="accent1" w:themeShade="BF"/>
      <w:spacing w:val="5"/>
    </w:rPr>
  </w:style>
  <w:style w:type="character" w:customStyle="1" w:styleId="normaltextrun">
    <w:name w:val="normaltextrun"/>
    <w:basedOn w:val="Fuentedeprrafopredeter"/>
    <w:rsid w:val="00DF6C29"/>
  </w:style>
  <w:style w:type="paragraph" w:customStyle="1" w:styleId="paragraph">
    <w:name w:val="paragraph"/>
    <w:basedOn w:val="Normal"/>
    <w:rsid w:val="00DF6C2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9</Pages>
  <Words>3185</Words>
  <Characters>17518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Haroldo Bermúdez Martínez</dc:creator>
  <cp:keywords/>
  <dc:description/>
  <cp:lastModifiedBy>Carlos Bermudez</cp:lastModifiedBy>
  <cp:revision>7</cp:revision>
  <dcterms:created xsi:type="dcterms:W3CDTF">2026-04-03T16:59:00Z</dcterms:created>
  <dcterms:modified xsi:type="dcterms:W3CDTF">2026-04-12T01:04:00Z</dcterms:modified>
</cp:coreProperties>
</file>