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15433" w14:textId="77777777" w:rsidR="008E11AC" w:rsidRDefault="00000000">
      <w:pPr>
        <w:spacing w:after="210"/>
      </w:pPr>
      <w:r>
        <w:rPr>
          <w:b/>
        </w:rPr>
        <w:t>Honorables Magistrados</w:t>
      </w:r>
    </w:p>
    <w:p w14:paraId="27B7FED9" w14:textId="77777777" w:rsidR="008E11AC" w:rsidRDefault="00000000">
      <w:pPr>
        <w:spacing w:after="210"/>
      </w:pPr>
      <w:r>
        <w:rPr>
          <w:b/>
        </w:rPr>
        <w:t>CORTE SUPREMA DE JUSTICIA</w:t>
      </w:r>
      <w:r>
        <w:br/>
      </w:r>
      <w:r>
        <w:rPr>
          <w:b/>
        </w:rPr>
        <w:t>SALA DE CASACI</w:t>
      </w:r>
      <w:r>
        <w:rPr>
          <w:b/>
        </w:rPr>
        <w:t>Ó</w:t>
      </w:r>
      <w:r>
        <w:rPr>
          <w:b/>
        </w:rPr>
        <w:t>N LABORAL</w:t>
      </w:r>
    </w:p>
    <w:p w14:paraId="58B887E6" w14:textId="77777777" w:rsidR="008E11AC" w:rsidRDefault="00000000">
      <w:pPr>
        <w:spacing w:after="210"/>
      </w:pPr>
      <w:r>
        <w:rPr>
          <w:b/>
        </w:rPr>
        <w:t>Referencia:</w:t>
      </w:r>
      <w:r>
        <w:rPr>
          <w:rFonts w:eastAsia="Georgia" w:hAnsi="Georgia" w:cs="Georgia"/>
        </w:rPr>
        <w:t xml:space="preserve"> Demanda de casación</w:t>
      </w:r>
      <w:r>
        <w:br/>
      </w:r>
      <w:r>
        <w:rPr>
          <w:b/>
        </w:rPr>
        <w:t>Recurrentes:</w:t>
      </w:r>
      <w:r>
        <w:t xml:space="preserve"> FRANCISCO JAVIER ARENAS FONSECA y CARLOS FERNANDO ARENAS FONSECA</w:t>
      </w:r>
      <w:r>
        <w:br/>
      </w:r>
      <w:r>
        <w:rPr>
          <w:b/>
        </w:rPr>
        <w:t>Opositora:</w:t>
      </w:r>
      <w:r>
        <w:t xml:space="preserve"> AFP PORVENIR S.A.</w:t>
      </w:r>
      <w:r>
        <w:br/>
      </w:r>
      <w:r>
        <w:rPr>
          <w:b/>
        </w:rPr>
        <w:t>Procedencia:</w:t>
      </w:r>
      <w:r>
        <w:t xml:space="preserve"> Sala Laboral del Tribunal Superior del Distrito Judicial de Tunja</w:t>
      </w:r>
      <w:r>
        <w:br/>
      </w:r>
      <w:r>
        <w:rPr>
          <w:b/>
        </w:rPr>
        <w:t>Radicaci</w:t>
      </w:r>
      <w:r>
        <w:rPr>
          <w:b/>
        </w:rPr>
        <w:t>ó</w:t>
      </w:r>
      <w:r>
        <w:rPr>
          <w:b/>
        </w:rPr>
        <w:t>n tribunal:</w:t>
      </w:r>
      <w:r>
        <w:t xml:space="preserve"> 2024-1601</w:t>
      </w:r>
    </w:p>
    <w:p w14:paraId="3A425DD1" w14:textId="77777777" w:rsidR="008E11AC" w:rsidRDefault="00000000">
      <w:pPr>
        <w:spacing w:after="210"/>
      </w:pPr>
      <w:r>
        <w:rPr>
          <w:b/>
        </w:rPr>
        <w:t>CARLOS HAROLDO BERM</w:t>
      </w:r>
      <w:r>
        <w:rPr>
          <w:b/>
        </w:rPr>
        <w:t>Ú</w:t>
      </w:r>
      <w:r>
        <w:rPr>
          <w:b/>
        </w:rPr>
        <w:t>DEZ MART</w:t>
      </w:r>
      <w:r>
        <w:rPr>
          <w:b/>
        </w:rPr>
        <w:t>Í</w:t>
      </w:r>
      <w:r>
        <w:rPr>
          <w:b/>
        </w:rPr>
        <w:t>NEZ</w:t>
      </w:r>
      <w:r>
        <w:rPr>
          <w:rFonts w:eastAsia="Georgia" w:hAnsi="Georgia" w:cs="Georgia"/>
        </w:rPr>
        <w:t xml:space="preserve">, mayor de edad, identificado como aparece al pie de mi firma, obrando en calidad de apoderado judicial de los señores </w:t>
      </w:r>
      <w:r>
        <w:rPr>
          <w:b/>
        </w:rPr>
        <w:t>FRANCISCO JAVIER ARENAS FONSECA</w:t>
      </w:r>
      <w:r>
        <w:t xml:space="preserve"> y </w:t>
      </w:r>
      <w:r>
        <w:rPr>
          <w:b/>
        </w:rPr>
        <w:t>CARLOS FERNANDO ARENAS FONSECA</w:t>
      </w:r>
      <w:r>
        <w:t xml:space="preserve">, dentro del proceso ordinario laboral promovido por </w:t>
      </w:r>
      <w:r>
        <w:rPr>
          <w:b/>
        </w:rPr>
        <w:t>AFP PORVENIR S.A.</w:t>
      </w:r>
      <w:r>
        <w:t xml:space="preserve">, de manera respetuosa interpongo y sustento </w:t>
      </w:r>
      <w:r>
        <w:rPr>
          <w:b/>
        </w:rPr>
        <w:t>demanda de casaci</w:t>
      </w:r>
      <w:r>
        <w:rPr>
          <w:b/>
        </w:rPr>
        <w:t>ó</w:t>
      </w:r>
      <w:r>
        <w:rPr>
          <w:b/>
        </w:rPr>
        <w:t>n</w:t>
      </w:r>
      <w:r>
        <w:t xml:space="preserve"> contra la sentencia proferida el </w:t>
      </w:r>
      <w:r>
        <w:rPr>
          <w:b/>
        </w:rPr>
        <w:t>31 de octubre de 2025</w:t>
      </w:r>
      <w:r>
        <w:rPr>
          <w:rFonts w:eastAsia="Georgia" w:hAnsi="Georgia" w:cs="Georgia"/>
        </w:rPr>
        <w:t xml:space="preserve"> por la Sala Laboral del Tribunal Superior del Distrito Judicial de Tunja, en cuanto revocó la decisión absolutoria de primer grado y, en su lugar, declaró inválida la afiliación de Francisco Antonio Arenas Aragón al RAIS y ordenó a mis representados reintegrar los montos recibidos como mesadas pensionales, con intereses de mora a partir de la ejecutoria. [1]</w:t>
      </w:r>
    </w:p>
    <w:p w14:paraId="1F15FDE9" w14:textId="77777777" w:rsidR="008E11AC" w:rsidRDefault="00000000">
      <w:pPr>
        <w:spacing w:before="240" w:line="271" w:lineRule="auto"/>
      </w:pPr>
      <w:bookmarkStart w:id="0" w:name="i_designación_de_las_partes_y_de_8f8c88"/>
      <w:r>
        <w:rPr>
          <w:rFonts w:eastAsia="Georgia" w:hAnsi="Georgia" w:cs="Georgia"/>
          <w:b/>
          <w:sz w:val="42"/>
        </w:rPr>
        <w:t>I. Designación de las partes y de la sentencia impugnada</w:t>
      </w:r>
      <w:bookmarkEnd w:id="0"/>
    </w:p>
    <w:p w14:paraId="29BA8519" w14:textId="77777777" w:rsidR="008E11AC" w:rsidRDefault="00000000">
      <w:pPr>
        <w:spacing w:before="240" w:line="271" w:lineRule="auto"/>
      </w:pPr>
      <w:bookmarkStart w:id="1" w:name="bm_1_partes"/>
      <w:r>
        <w:rPr>
          <w:b/>
          <w:sz w:val="33"/>
        </w:rPr>
        <w:t>1. Partes</w:t>
      </w:r>
      <w:bookmarkEnd w:id="1"/>
    </w:p>
    <w:p w14:paraId="7390E56C" w14:textId="77777777" w:rsidR="008E11AC" w:rsidRDefault="00000000">
      <w:pPr>
        <w:spacing w:after="210"/>
      </w:pPr>
      <w:r>
        <w:rPr>
          <w:b/>
        </w:rPr>
        <w:t>Demandante en el proceso ordinario:</w:t>
      </w:r>
      <w:r>
        <w:t xml:space="preserve"> AFP PORVENIR S.A. [1]</w:t>
      </w:r>
    </w:p>
    <w:p w14:paraId="18BE5C2B" w14:textId="77777777" w:rsidR="008E11AC" w:rsidRDefault="00000000">
      <w:pPr>
        <w:spacing w:after="210"/>
      </w:pPr>
      <w:r>
        <w:rPr>
          <w:b/>
        </w:rPr>
        <w:t>Demandados en el proceso ordinario y recurrentes en casaci</w:t>
      </w:r>
      <w:r>
        <w:rPr>
          <w:b/>
        </w:rPr>
        <w:t>ó</w:t>
      </w:r>
      <w:r>
        <w:rPr>
          <w:b/>
        </w:rPr>
        <w:t>n:</w:t>
      </w:r>
      <w:r>
        <w:rPr>
          <w:rFonts w:eastAsia="Georgia" w:hAnsi="Georgia" w:cs="Georgia"/>
        </w:rPr>
        <w:t xml:space="preserve"> FRANCISCO JAVIER ARENAS FONSECA y CARLOS FERNANDO ARENAS FONSECA, este último además vinculado en calidad de heredero determinado de ANA LUCÍA FONSECA DE ARENAS. [1]</w:t>
      </w:r>
    </w:p>
    <w:p w14:paraId="59E2A1E1" w14:textId="77777777" w:rsidR="008E11AC" w:rsidRDefault="00000000">
      <w:pPr>
        <w:spacing w:before="240" w:line="271" w:lineRule="auto"/>
      </w:pPr>
      <w:bookmarkStart w:id="2" w:name="bm_2_sentencia_impugnada"/>
      <w:r>
        <w:rPr>
          <w:b/>
          <w:sz w:val="33"/>
        </w:rPr>
        <w:t>2. Sentencia impugnada</w:t>
      </w:r>
      <w:bookmarkEnd w:id="2"/>
    </w:p>
    <w:p w14:paraId="666920C8" w14:textId="77777777" w:rsidR="008E11AC" w:rsidRDefault="00000000">
      <w:pPr>
        <w:spacing w:after="210"/>
      </w:pPr>
      <w:r>
        <w:t xml:space="preserve">La sentencia proferida el </w:t>
      </w:r>
      <w:r>
        <w:rPr>
          <w:b/>
        </w:rPr>
        <w:t>31 de octubre de 2025</w:t>
      </w:r>
      <w:r>
        <w:t xml:space="preserve"> por la </w:t>
      </w:r>
      <w:r>
        <w:rPr>
          <w:b/>
        </w:rPr>
        <w:t>Sala Laboral del Tribunal Superior del Distrito Judicial de Tunja</w:t>
      </w:r>
      <w:r>
        <w:t xml:space="preserve">, dentro del proceso ordinario laboral con radicado </w:t>
      </w:r>
      <w:r>
        <w:rPr>
          <w:b/>
        </w:rPr>
        <w:t>15001-31-05-001-2022-00022-01 (2024-1601)</w:t>
      </w:r>
      <w:r>
        <w:rPr>
          <w:rFonts w:eastAsia="Georgia" w:hAnsi="Georgia" w:cs="Georgia"/>
        </w:rPr>
        <w:t>, mediante la cual se revocó la sentencia del Juzgado Primero Laboral del Circuito de Tunja y se ordenó el reintegro de los montos recibidos como mesadas pensionales. [1]</w:t>
      </w:r>
    </w:p>
    <w:p w14:paraId="6A1B9602" w14:textId="77777777" w:rsidR="008E11AC" w:rsidRDefault="00000000">
      <w:pPr>
        <w:spacing w:before="240" w:line="271" w:lineRule="auto"/>
      </w:pPr>
      <w:bookmarkStart w:id="3" w:name="ii_síntesis_del_proceso_y_de_los_febc31"/>
      <w:r>
        <w:rPr>
          <w:rFonts w:eastAsia="Georgia" w:hAnsi="Georgia" w:cs="Georgia"/>
          <w:b/>
          <w:sz w:val="42"/>
        </w:rPr>
        <w:t>II. Síntesis del proceso y de los hechos relevantes</w:t>
      </w:r>
      <w:bookmarkEnd w:id="3"/>
    </w:p>
    <w:p w14:paraId="3F56C682" w14:textId="77777777" w:rsidR="008E11AC" w:rsidRDefault="00000000">
      <w:pPr>
        <w:numPr>
          <w:ilvl w:val="0"/>
          <w:numId w:val="1"/>
        </w:numPr>
        <w:spacing w:after="210"/>
      </w:pPr>
      <w:r>
        <w:rPr>
          <w:rFonts w:eastAsia="Georgia" w:hAnsi="Georgia" w:cs="Georgia"/>
        </w:rPr>
        <w:t xml:space="preserve">AFP Porvenir S.A. promovió demanda para que se declarara inválida la afiliación de </w:t>
      </w:r>
      <w:r>
        <w:rPr>
          <w:b/>
        </w:rPr>
        <w:t>Francisco Antonio Arenas Arag</w:t>
      </w:r>
      <w:r>
        <w:rPr>
          <w:b/>
        </w:rPr>
        <w:t>ó</w:t>
      </w:r>
      <w:r>
        <w:rPr>
          <w:b/>
        </w:rPr>
        <w:t>n</w:t>
      </w:r>
      <w:r>
        <w:rPr>
          <w:rFonts w:eastAsia="Georgia" w:hAnsi="Georgia" w:cs="Georgia"/>
        </w:rPr>
        <w:t xml:space="preserve"> al régimen de ahorro individual realizada el </w:t>
      </w:r>
      <w:r>
        <w:rPr>
          <w:b/>
        </w:rPr>
        <w:t>1 de agosto de 1998</w:t>
      </w:r>
      <w:r>
        <w:rPr>
          <w:rFonts w:eastAsia="Georgia" w:hAnsi="Georgia" w:cs="Georgia"/>
        </w:rPr>
        <w:t xml:space="preserve">, se declarara que no le correspondía reconocer la pensión de </w:t>
      </w:r>
      <w:r>
        <w:rPr>
          <w:rFonts w:eastAsia="Georgia" w:hAnsi="Georgia" w:cs="Georgia"/>
        </w:rPr>
        <w:lastRenderedPageBreak/>
        <w:t>sobrevivientes causada por su fallecimiento y, como consecuencia, se ordenara el reintegro de las mesadas pagadas. [1]</w:t>
      </w:r>
    </w:p>
    <w:p w14:paraId="7F0A45C2" w14:textId="77777777" w:rsidR="008E11AC" w:rsidRDefault="00000000">
      <w:pPr>
        <w:numPr>
          <w:ilvl w:val="0"/>
          <w:numId w:val="1"/>
        </w:numPr>
        <w:spacing w:after="210"/>
      </w:pPr>
      <w:r>
        <w:rPr>
          <w:rFonts w:eastAsia="Georgia" w:hAnsi="Georgia" w:cs="Georgia"/>
        </w:rPr>
        <w:t xml:space="preserve">El Tribunal tuvo por acreditado que Francisco Antonio Arenas Aragón nació el </w:t>
      </w:r>
      <w:r>
        <w:rPr>
          <w:b/>
        </w:rPr>
        <w:t>17 de marzo de 1938</w:t>
      </w:r>
      <w:r>
        <w:t xml:space="preserve">, que fue pensionado por el ISS desde el </w:t>
      </w:r>
      <w:r>
        <w:rPr>
          <w:b/>
        </w:rPr>
        <w:t>17 de marzo de 1998</w:t>
      </w:r>
      <w:r>
        <w:rPr>
          <w:rFonts w:eastAsia="Georgia" w:hAnsi="Georgia" w:cs="Georgia"/>
        </w:rPr>
        <w:t xml:space="preserve">, que solicitó traslado al RAIS el </w:t>
      </w:r>
      <w:r>
        <w:rPr>
          <w:b/>
        </w:rPr>
        <w:t>1 de agosto de 1998</w:t>
      </w:r>
      <w:r>
        <w:rPr>
          <w:rFonts w:eastAsia="Georgia" w:hAnsi="Georgia" w:cs="Georgia"/>
        </w:rPr>
        <w:t xml:space="preserve"> y que falleció el </w:t>
      </w:r>
      <w:r>
        <w:rPr>
          <w:b/>
        </w:rPr>
        <w:t>21 de marzo de 2000</w:t>
      </w:r>
      <w:r>
        <w:t>. [1]</w:t>
      </w:r>
    </w:p>
    <w:p w14:paraId="48233031" w14:textId="77777777" w:rsidR="008E11AC" w:rsidRDefault="00000000">
      <w:pPr>
        <w:numPr>
          <w:ilvl w:val="0"/>
          <w:numId w:val="1"/>
        </w:numPr>
        <w:spacing w:after="210"/>
      </w:pPr>
      <w:r>
        <w:rPr>
          <w:rFonts w:eastAsia="Georgia" w:hAnsi="Georgia" w:cs="Georgia"/>
        </w:rPr>
        <w:t xml:space="preserve">También dio por demostrado que Porvenir reconoció pensión de sobrevivientes el </w:t>
      </w:r>
      <w:r>
        <w:rPr>
          <w:b/>
        </w:rPr>
        <w:t>9 de agosto de 2000</w:t>
      </w:r>
      <w:r>
        <w:rPr>
          <w:rFonts w:eastAsia="Georgia" w:hAnsi="Georgia" w:cs="Georgia"/>
        </w:rPr>
        <w:t xml:space="preserve"> a favor de Ana Lucía Fonseca de Arenas y de sus hijos, y que el </w:t>
      </w:r>
      <w:r>
        <w:rPr>
          <w:b/>
        </w:rPr>
        <w:t>27 de agosto de 2019</w:t>
      </w:r>
      <w:r>
        <w:rPr>
          <w:rFonts w:eastAsia="Georgia" w:hAnsi="Georgia" w:cs="Georgia"/>
        </w:rPr>
        <w:t xml:space="preserve"> Colpensiones y Porvenir suscribieron un acta interna de definición de validez de afiliación en casos de dobles beneficios entre regímenes. [1]</w:t>
      </w:r>
    </w:p>
    <w:p w14:paraId="08FCA670" w14:textId="77777777" w:rsidR="008E11AC" w:rsidRDefault="00000000">
      <w:pPr>
        <w:numPr>
          <w:ilvl w:val="0"/>
          <w:numId w:val="1"/>
        </w:numPr>
        <w:spacing w:after="210"/>
      </w:pPr>
      <w:r>
        <w:t xml:space="preserve">Los demandados se opusieron a las pretensiones y formularon, entre otras, las excepciones de </w:t>
      </w:r>
      <w:r>
        <w:rPr>
          <w:b/>
        </w:rPr>
        <w:t>buena fe</w:t>
      </w:r>
      <w:r>
        <w:t xml:space="preserve">, </w:t>
      </w:r>
      <w:r>
        <w:rPr>
          <w:b/>
        </w:rPr>
        <w:t>buena fe exenta de culpa</w:t>
      </w:r>
      <w:r>
        <w:t xml:space="preserve">, </w:t>
      </w:r>
      <w:r>
        <w:rPr>
          <w:b/>
        </w:rPr>
        <w:t>prescripci</w:t>
      </w:r>
      <w:r>
        <w:rPr>
          <w:b/>
        </w:rPr>
        <w:t>ó</w:t>
      </w:r>
      <w:r>
        <w:rPr>
          <w:b/>
        </w:rPr>
        <w:t>n</w:t>
      </w:r>
      <w:r>
        <w:t xml:space="preserve">, </w:t>
      </w:r>
      <w:r>
        <w:rPr>
          <w:b/>
        </w:rPr>
        <w:t>derecho a doble asignaci</w:t>
      </w:r>
      <w:r>
        <w:rPr>
          <w:b/>
        </w:rPr>
        <w:t>ó</w:t>
      </w:r>
      <w:r>
        <w:rPr>
          <w:b/>
        </w:rPr>
        <w:t>n</w:t>
      </w:r>
      <w:r>
        <w:t xml:space="preserve"> y la </w:t>
      </w:r>
      <w:r>
        <w:rPr>
          <w:b/>
        </w:rPr>
        <w:t>gen</w:t>
      </w:r>
      <w:r>
        <w:rPr>
          <w:b/>
        </w:rPr>
        <w:t>é</w:t>
      </w:r>
      <w:r>
        <w:rPr>
          <w:b/>
        </w:rPr>
        <w:t>rica o innominada</w:t>
      </w:r>
      <w:r>
        <w:t>. [1]</w:t>
      </w:r>
    </w:p>
    <w:p w14:paraId="5F89D9F9" w14:textId="77777777" w:rsidR="008E11AC" w:rsidRDefault="00000000">
      <w:pPr>
        <w:numPr>
          <w:ilvl w:val="0"/>
          <w:numId w:val="1"/>
        </w:numPr>
        <w:spacing w:after="210"/>
      </w:pPr>
      <w:r>
        <w:t xml:space="preserve">El Juzgado Primero Laboral del Circuito de Tunja, en audiencia del </w:t>
      </w:r>
      <w:r>
        <w:rPr>
          <w:b/>
        </w:rPr>
        <w:t>25 de noviembre de 2024</w:t>
      </w:r>
      <w:r>
        <w:rPr>
          <w:rFonts w:eastAsia="Georgia" w:hAnsi="Georgia" w:cs="Georgia"/>
        </w:rPr>
        <w:t>, declaró probada la excepción denominada “derecho a doble asignación pensional” y negó las pretensiones de la demanda. [1][2]</w:t>
      </w:r>
    </w:p>
    <w:p w14:paraId="467C03A4" w14:textId="77777777" w:rsidR="008E11AC" w:rsidRDefault="00000000">
      <w:pPr>
        <w:numPr>
          <w:ilvl w:val="0"/>
          <w:numId w:val="1"/>
        </w:numPr>
        <w:spacing w:after="210"/>
      </w:pPr>
      <w:r>
        <w:rPr>
          <w:rFonts w:eastAsia="Georgia" w:hAnsi="Georgia" w:cs="Georgia"/>
        </w:rPr>
        <w:t>El Tribunal revocó la decisión y, con fundamento en el artículo 2321 del Código Civil, ordenó a Francisco Javier Arenas Fonseca, Carlos Fernando Arenas Fonseca, a los herederos determinados de Ana Lucía Fonseca y a los indeterminados, reintegrar a Porvenir los montos recibidos como mesadas pensionales, pese a reconocer que no podía pronunciarse sobre la póliza de renta vitalicia por no haber sido convocada Seguros de Vida Alfa S.A. y que solo obraba prueba de pagos a Francisco Javier Arenas Fonseca a partir de marzo de 2006. [1]</w:t>
      </w:r>
    </w:p>
    <w:p w14:paraId="1EA490C8" w14:textId="77777777" w:rsidR="008E11AC" w:rsidRDefault="00000000">
      <w:pPr>
        <w:spacing w:before="240" w:line="271" w:lineRule="auto"/>
      </w:pPr>
      <w:bookmarkStart w:id="4" w:name="iii_alcance_de_la_impugnación"/>
      <w:r>
        <w:rPr>
          <w:rFonts w:eastAsia="Georgia" w:hAnsi="Georgia" w:cs="Georgia"/>
          <w:b/>
          <w:sz w:val="42"/>
        </w:rPr>
        <w:t>III. Alcance de la impugnación</w:t>
      </w:r>
      <w:bookmarkEnd w:id="4"/>
    </w:p>
    <w:p w14:paraId="2A531935" w14:textId="77777777" w:rsidR="008E11AC" w:rsidRDefault="00000000">
      <w:pPr>
        <w:spacing w:after="210"/>
      </w:pPr>
      <w:r>
        <w:t xml:space="preserve">Pretende la parte recurrente que la Corte </w:t>
      </w:r>
      <w:r>
        <w:rPr>
          <w:b/>
        </w:rPr>
        <w:t>CASE PARCIALMENTE</w:t>
      </w:r>
      <w:r>
        <w:t xml:space="preserve"> la sentencia impugnada, </w:t>
      </w:r>
      <w:r>
        <w:rPr>
          <w:b/>
        </w:rPr>
        <w:t>ú</w:t>
      </w:r>
      <w:r>
        <w:rPr>
          <w:b/>
        </w:rPr>
        <w:t>nicamente en cuanto</w:t>
      </w:r>
      <w:r>
        <w:t>:</w:t>
      </w:r>
    </w:p>
    <w:p w14:paraId="50FAC3D8" w14:textId="77777777" w:rsidR="008E11AC" w:rsidRDefault="00000000">
      <w:pPr>
        <w:numPr>
          <w:ilvl w:val="0"/>
          <w:numId w:val="2"/>
        </w:numPr>
      </w:pPr>
      <w:r>
        <w:rPr>
          <w:rFonts w:eastAsia="Georgia" w:hAnsi="Georgia" w:cs="Georgia"/>
        </w:rPr>
        <w:t xml:space="preserve">ordenó a </w:t>
      </w:r>
      <w:r>
        <w:rPr>
          <w:b/>
        </w:rPr>
        <w:t>FRANCISCO JAVIER ARENAS FONSECA</w:t>
      </w:r>
      <w:r>
        <w:t xml:space="preserve"> y </w:t>
      </w:r>
      <w:r>
        <w:rPr>
          <w:b/>
        </w:rPr>
        <w:t>CARLOS FERNANDO ARENAS FONSECA</w:t>
      </w:r>
      <w:r>
        <w:rPr>
          <w:rFonts w:eastAsia="Georgia" w:hAnsi="Georgia" w:cs="Georgia"/>
        </w:rPr>
        <w:t>, como personas naturales y como herederos determinados de ANA LUCÍA FONSECA DE ARENAS, así como a los herederos indeterminados de ésta, reintegrar a AFP PORVENIR S.A. los montos recibidos como mesadas pensionales; y [1]</w:t>
      </w:r>
    </w:p>
    <w:p w14:paraId="3F381B26" w14:textId="77777777" w:rsidR="008E11AC" w:rsidRDefault="00000000">
      <w:pPr>
        <w:numPr>
          <w:ilvl w:val="0"/>
          <w:numId w:val="2"/>
        </w:numPr>
      </w:pPr>
      <w:r>
        <w:t>impuso intereses de mora sobre dichas sumas a partir de la ejecutoria. [1]</w:t>
      </w:r>
    </w:p>
    <w:p w14:paraId="667646F0" w14:textId="77777777" w:rsidR="008E11AC" w:rsidRDefault="00000000">
      <w:pPr>
        <w:spacing w:after="210"/>
      </w:pPr>
      <w:r>
        <w:t>En sede de instancia, solicita la parte recurrente que la Corte:</w:t>
      </w:r>
    </w:p>
    <w:p w14:paraId="628C3FA0" w14:textId="77777777" w:rsidR="008E11AC" w:rsidRDefault="00000000">
      <w:pPr>
        <w:numPr>
          <w:ilvl w:val="0"/>
          <w:numId w:val="3"/>
        </w:numPr>
      </w:pPr>
      <w:r>
        <w:rPr>
          <w:b/>
        </w:rPr>
        <w:t>Confirme la sentencia absolutoria de primer grado</w:t>
      </w:r>
      <w:r>
        <w:rPr>
          <w:rFonts w:eastAsia="Georgia" w:hAnsi="Georgia" w:cs="Georgia"/>
        </w:rPr>
        <w:t xml:space="preserve"> en cuanto negó la pretensión restitutoria formulada por AFP PORVENIR S.A.; o, subsidiariamente, [1][2]</w:t>
      </w:r>
    </w:p>
    <w:p w14:paraId="3971C02E" w14:textId="77777777" w:rsidR="008E11AC" w:rsidRDefault="00000000">
      <w:pPr>
        <w:numPr>
          <w:ilvl w:val="0"/>
          <w:numId w:val="3"/>
        </w:numPr>
      </w:pPr>
      <w:r>
        <w:rPr>
          <w:b/>
        </w:rPr>
        <w:t>Revoque la condena global de reintegro</w:t>
      </w:r>
      <w:r>
        <w:rPr>
          <w:rFonts w:eastAsia="Georgia" w:hAnsi="Georgia" w:cs="Georgia"/>
        </w:rPr>
        <w:t xml:space="preserve"> y limite cualquier eventual restitución exclusivamente a montos plenamente probados, individualizados y no afectados por la prescripción trienal, con exclusión de toda suma no demostrada o no exigible. [3][1]</w:t>
      </w:r>
    </w:p>
    <w:p w14:paraId="5BE6837E" w14:textId="77777777" w:rsidR="008E11AC" w:rsidRDefault="00000000">
      <w:pPr>
        <w:spacing w:before="240" w:line="271" w:lineRule="auto"/>
      </w:pPr>
      <w:bookmarkStart w:id="5" w:name="iv_cargos"/>
      <w:r>
        <w:rPr>
          <w:b/>
          <w:sz w:val="42"/>
        </w:rPr>
        <w:t>IV. Cargos</w:t>
      </w:r>
      <w:bookmarkEnd w:id="5"/>
    </w:p>
    <w:p w14:paraId="354F705C" w14:textId="77777777" w:rsidR="008E11AC" w:rsidRDefault="00000000">
      <w:pPr>
        <w:spacing w:before="240" w:line="271" w:lineRule="auto"/>
      </w:pPr>
      <w:bookmarkStart w:id="6" w:name="cargo_primero"/>
      <w:r>
        <w:rPr>
          <w:b/>
          <w:sz w:val="42"/>
        </w:rPr>
        <w:lastRenderedPageBreak/>
        <w:t>Cargo primero</w:t>
      </w:r>
      <w:bookmarkEnd w:id="6"/>
    </w:p>
    <w:p w14:paraId="43964F5D" w14:textId="77777777" w:rsidR="008E11AC" w:rsidRDefault="00000000">
      <w:pPr>
        <w:spacing w:before="240" w:line="271" w:lineRule="auto"/>
      </w:pPr>
      <w:bookmarkStart w:id="7" w:name="bm_1_enunciación"/>
      <w:r>
        <w:rPr>
          <w:rFonts w:eastAsia="Georgia" w:hAnsi="Georgia" w:cs="Georgia"/>
          <w:b/>
          <w:sz w:val="33"/>
        </w:rPr>
        <w:t>1. Enunciación</w:t>
      </w:r>
      <w:bookmarkEnd w:id="7"/>
    </w:p>
    <w:p w14:paraId="786F89BC" w14:textId="77777777" w:rsidR="008E11AC" w:rsidRDefault="00000000">
      <w:pPr>
        <w:spacing w:after="210"/>
      </w:pPr>
      <w:r>
        <w:t xml:space="preserve">Acuso la sentencia impugnada por la </w:t>
      </w:r>
      <w:r>
        <w:rPr>
          <w:b/>
        </w:rPr>
        <w:t>causal primera de casaci</w:t>
      </w:r>
      <w:r>
        <w:rPr>
          <w:b/>
        </w:rPr>
        <w:t>ó</w:t>
      </w:r>
      <w:r>
        <w:rPr>
          <w:b/>
        </w:rPr>
        <w:t>n</w:t>
      </w:r>
      <w:r>
        <w:t xml:space="preserve">, por la </w:t>
      </w:r>
      <w:r>
        <w:rPr>
          <w:b/>
        </w:rPr>
        <w:t>v</w:t>
      </w:r>
      <w:r>
        <w:rPr>
          <w:b/>
        </w:rPr>
        <w:t>í</w:t>
      </w:r>
      <w:r>
        <w:rPr>
          <w:b/>
        </w:rPr>
        <w:t>a directa</w:t>
      </w:r>
      <w:r>
        <w:t xml:space="preserve">, en la modalidad de </w:t>
      </w:r>
      <w:r>
        <w:rPr>
          <w:b/>
        </w:rPr>
        <w:t>aplicaci</w:t>
      </w:r>
      <w:r>
        <w:rPr>
          <w:b/>
        </w:rPr>
        <w:t>ó</w:t>
      </w:r>
      <w:r>
        <w:rPr>
          <w:b/>
        </w:rPr>
        <w:t>n indebida</w:t>
      </w:r>
      <w:r>
        <w:rPr>
          <w:rFonts w:eastAsia="Georgia" w:hAnsi="Georgia" w:cs="Georgia"/>
        </w:rPr>
        <w:t xml:space="preserve"> del artículo </w:t>
      </w:r>
      <w:r>
        <w:rPr>
          <w:b/>
        </w:rPr>
        <w:t>2321 del C</w:t>
      </w:r>
      <w:r>
        <w:rPr>
          <w:b/>
        </w:rPr>
        <w:t>ó</w:t>
      </w:r>
      <w:r>
        <w:rPr>
          <w:b/>
        </w:rPr>
        <w:t>digo Civil</w:t>
      </w:r>
      <w:r>
        <w:t xml:space="preserve">, como consecuencia de la </w:t>
      </w:r>
      <w:r>
        <w:rPr>
          <w:b/>
        </w:rPr>
        <w:t>falta de aplicaci</w:t>
      </w:r>
      <w:r>
        <w:rPr>
          <w:b/>
        </w:rPr>
        <w:t>ó</w:t>
      </w:r>
      <w:r>
        <w:rPr>
          <w:b/>
        </w:rPr>
        <w:t>n</w:t>
      </w:r>
      <w:r>
        <w:rPr>
          <w:rFonts w:eastAsia="Georgia" w:hAnsi="Georgia" w:cs="Georgia"/>
        </w:rPr>
        <w:t xml:space="preserve"> del artículo </w:t>
      </w:r>
      <w:r>
        <w:rPr>
          <w:b/>
        </w:rPr>
        <w:t>151 del C</w:t>
      </w:r>
      <w:r>
        <w:rPr>
          <w:b/>
        </w:rPr>
        <w:t>ó</w:t>
      </w:r>
      <w:r>
        <w:rPr>
          <w:b/>
        </w:rPr>
        <w:t>digo Procesal del Trabajo y de la Seguridad Social</w:t>
      </w:r>
      <w:r>
        <w:rPr>
          <w:rFonts w:eastAsia="Georgia" w:hAnsi="Georgia" w:cs="Georgia"/>
        </w:rPr>
        <w:t xml:space="preserve">, en relación con los artículos </w:t>
      </w:r>
      <w:r>
        <w:rPr>
          <w:b/>
        </w:rPr>
        <w:t>48 de la Constituci</w:t>
      </w:r>
      <w:r>
        <w:rPr>
          <w:b/>
        </w:rPr>
        <w:t>ó</w:t>
      </w:r>
      <w:r>
        <w:rPr>
          <w:b/>
        </w:rPr>
        <w:t>n Pol</w:t>
      </w:r>
      <w:r>
        <w:rPr>
          <w:b/>
        </w:rPr>
        <w:t>í</w:t>
      </w:r>
      <w:r>
        <w:rPr>
          <w:b/>
        </w:rPr>
        <w:t>tica</w:t>
      </w:r>
      <w:r>
        <w:t xml:space="preserve"> y </w:t>
      </w:r>
      <w:r>
        <w:rPr>
          <w:b/>
        </w:rPr>
        <w:t>16 de la Ley 100 de 1993</w:t>
      </w:r>
      <w:r>
        <w:t>. [3][1]</w:t>
      </w:r>
    </w:p>
    <w:p w14:paraId="6A03E12A" w14:textId="77777777" w:rsidR="008E11AC" w:rsidRDefault="00000000">
      <w:pPr>
        <w:spacing w:before="240" w:line="271" w:lineRule="auto"/>
      </w:pPr>
      <w:bookmarkStart w:id="8" w:name="bm_2_proposición_jurídica"/>
      <w:r>
        <w:rPr>
          <w:rFonts w:eastAsia="Georgia" w:hAnsi="Georgia" w:cs="Georgia"/>
          <w:b/>
          <w:sz w:val="33"/>
        </w:rPr>
        <w:t>2. Proposición jurídica</w:t>
      </w:r>
      <w:bookmarkEnd w:id="8"/>
    </w:p>
    <w:p w14:paraId="31E1E971" w14:textId="77777777" w:rsidR="008E11AC" w:rsidRDefault="00000000">
      <w:pPr>
        <w:spacing w:after="210"/>
      </w:pPr>
      <w:r>
        <w:rPr>
          <w:rFonts w:eastAsia="Georgia" w:hAnsi="Georgia" w:cs="Georgia"/>
        </w:rPr>
        <w:t>El sentenciador aplicó indebidamente el artículo 2321 del Código Civil al disponer la restitución general de pagos periódicos sin someter la pretensión al régimen de prescripción trienal que gobierna las acciones emanadas de las leyes sociales, pese a que la excepción fue propuesta expresa y oportunamente por la demandada. [3][1]</w:t>
      </w:r>
    </w:p>
    <w:p w14:paraId="42C55E15" w14:textId="77777777" w:rsidR="008E11AC" w:rsidRDefault="00000000">
      <w:pPr>
        <w:spacing w:before="240" w:line="271" w:lineRule="auto"/>
      </w:pPr>
      <w:bookmarkStart w:id="9" w:name="bm_3_demostración"/>
      <w:r>
        <w:rPr>
          <w:rFonts w:eastAsia="Georgia" w:hAnsi="Georgia" w:cs="Georgia"/>
          <w:b/>
          <w:sz w:val="33"/>
        </w:rPr>
        <w:t>3. Demostración</w:t>
      </w:r>
      <w:bookmarkEnd w:id="9"/>
    </w:p>
    <w:p w14:paraId="28B710CA" w14:textId="77777777" w:rsidR="008E11AC" w:rsidRDefault="00000000">
      <w:pPr>
        <w:spacing w:after="210"/>
      </w:pPr>
      <w:r>
        <w:rPr>
          <w:rFonts w:eastAsia="Georgia" w:hAnsi="Georgia" w:cs="Georgia"/>
        </w:rPr>
        <w:t>No se discute en este cargo la conclusión del Tribunal según la cual la afiliación de Francisco Antonio Arenas Aragón al RAIS era inválida ni que, desde su perspectiva, ello abría paso a una pretensión restitutoria. [1] El reproche se dirige a que, aun aceptando hipotéticamente ese entendimiento, la Sala de segundo grado dedujo de ello una consecuencia jurídica equivocada: trató la repetición de mesadas como una obligación global, homogénea e inmune a la prescripción de créditos periódicos. [3][1]</w:t>
      </w:r>
    </w:p>
    <w:p w14:paraId="120BE1F6" w14:textId="77777777" w:rsidR="008E11AC" w:rsidRDefault="00000000">
      <w:pPr>
        <w:spacing w:after="210"/>
      </w:pPr>
      <w:r>
        <w:rPr>
          <w:rFonts w:eastAsia="Georgia" w:hAnsi="Georgia" w:cs="Georgia"/>
        </w:rPr>
        <w:t>La providencia acusada fundó la condena en el artículo 2321 del Código Civil, relativo al pago de lo no debido, pero no realizó ningún análisis de la excepción de prescripción propuesta por la parte demandada, aunque ésta fue formulada en la contestación de la demanda por Carlos Fernando Arenas Fonseca y reiterada en el trámite posterior. [1] Esa omisión es jurídicamente relevante, porque la pretensión acogida por el Tribunal no recayó sobre el estatus pensional, sino sobre la devolución de sumas que fueron causándose y pagándose de manera periódica a lo largo del tiempo. [3][1]</w:t>
      </w:r>
    </w:p>
    <w:p w14:paraId="6CE86644" w14:textId="77777777" w:rsidR="008E11AC" w:rsidRDefault="00000000">
      <w:pPr>
        <w:spacing w:after="210"/>
      </w:pPr>
      <w:r>
        <w:rPr>
          <w:rFonts w:eastAsia="Georgia" w:hAnsi="Georgia" w:cs="Georgia"/>
        </w:rPr>
        <w:t>La sentencia confunde dos planos diferentes: uno, la eventual invalidez de una afiliación al sistema; otro, la repetición patrimonial de pagos periódicos ya efectuados. [1] Lo primero no exonera al juzgador de examinar si los créditos cuya devolución se reclama continúan vigentes o si, por el contrario, se extinguieron por el transcurso del tiempo en los términos del artículo 151 del CPTSS. [3]</w:t>
      </w:r>
    </w:p>
    <w:p w14:paraId="2AA83EFB" w14:textId="77777777" w:rsidR="008E11AC" w:rsidRDefault="00000000">
      <w:pPr>
        <w:spacing w:after="210"/>
      </w:pPr>
      <w:r>
        <w:rPr>
          <w:rFonts w:eastAsia="Georgia" w:hAnsi="Georgia" w:cs="Georgia"/>
        </w:rPr>
        <w:t xml:space="preserve">No podía el Tribunal eludir ese análisis con apoyo implícito en el acta de </w:t>
      </w:r>
      <w:r>
        <w:rPr>
          <w:b/>
        </w:rPr>
        <w:t>27 de agosto de 2019</w:t>
      </w:r>
      <w:r>
        <w:rPr>
          <w:rFonts w:eastAsia="Georgia" w:hAnsi="Georgia" w:cs="Georgia"/>
        </w:rPr>
        <w:t xml:space="preserve">, pues tal documento, según la propia sentencia, fue una actuación interna entre administradoras destinada a definir la entidad competente en un escenario de doble beneficio entre regímenes, no una fuente normativa que creara ex </w:t>
      </w:r>
      <w:proofErr w:type="spellStart"/>
      <w:r>
        <w:rPr>
          <w:rFonts w:eastAsia="Georgia" w:hAnsi="Georgia" w:cs="Georgia"/>
        </w:rPr>
        <w:t>novo</w:t>
      </w:r>
      <w:proofErr w:type="spellEnd"/>
      <w:r>
        <w:rPr>
          <w:rFonts w:eastAsia="Georgia" w:hAnsi="Georgia" w:cs="Georgia"/>
        </w:rPr>
        <w:t xml:space="preserve"> el derecho de repetición. [1] Si, como sostuvo el ad </w:t>
      </w:r>
      <w:proofErr w:type="spellStart"/>
      <w:r>
        <w:rPr>
          <w:rFonts w:eastAsia="Georgia" w:hAnsi="Georgia" w:cs="Georgia"/>
        </w:rPr>
        <w:t>quem</w:t>
      </w:r>
      <w:proofErr w:type="spellEnd"/>
      <w:r>
        <w:rPr>
          <w:rFonts w:eastAsia="Georgia" w:hAnsi="Georgia" w:cs="Georgia"/>
        </w:rPr>
        <w:t>, la afiliación al RAIS era inválida desde su origen por exclusión legal y por la existencia previa de la pensión de vejez reconocida por el ISS, entonces la situación jurídica que hoy se califica como pago no debido era cognoscible desde mucho antes por la propia administradora que efectuó el reconocimiento y promovió la renta vitalicia. [1]</w:t>
      </w:r>
    </w:p>
    <w:p w14:paraId="1384FBD4" w14:textId="77777777" w:rsidR="008E11AC" w:rsidRDefault="00000000">
      <w:pPr>
        <w:spacing w:after="210"/>
      </w:pPr>
      <w:r>
        <w:rPr>
          <w:rFonts w:eastAsia="Georgia" w:hAnsi="Georgia" w:cs="Georgia"/>
        </w:rPr>
        <w:t xml:space="preserve">Por ello, la exigibilidad de la repetición no podía quedar librada al momento en que Porvenir decidiera revisar administrativamente su propio actuar. [4][1] Admitir lo contrario </w:t>
      </w:r>
      <w:r>
        <w:rPr>
          <w:rFonts w:eastAsia="Georgia" w:hAnsi="Georgia" w:cs="Georgia"/>
        </w:rPr>
        <w:lastRenderedPageBreak/>
        <w:t xml:space="preserve">equivaldría a permitir que el acreedor defina unilateralmente el </w:t>
      </w:r>
      <w:proofErr w:type="spellStart"/>
      <w:r>
        <w:rPr>
          <w:rFonts w:eastAsia="Georgia" w:hAnsi="Georgia" w:cs="Georgia"/>
        </w:rPr>
        <w:t>dies</w:t>
      </w:r>
      <w:proofErr w:type="spellEnd"/>
      <w:r>
        <w:rPr>
          <w:rFonts w:eastAsia="Georgia" w:hAnsi="Georgia" w:cs="Georgia"/>
        </w:rPr>
        <w:t xml:space="preserve"> a quo de la prescripción, desnaturalizando su función extintiva y vaciando de contenido el artículo 151 del CPTSS. [3]</w:t>
      </w:r>
    </w:p>
    <w:p w14:paraId="6FBDA2EB" w14:textId="77777777" w:rsidR="008E11AC" w:rsidRDefault="00000000">
      <w:pPr>
        <w:spacing w:after="210"/>
      </w:pPr>
      <w:r>
        <w:rPr>
          <w:rFonts w:eastAsia="Georgia" w:hAnsi="Georgia" w:cs="Georgia"/>
        </w:rPr>
        <w:t>Además, la tesis del Tribunal desconoce que la condena recae sobre pagos sucesivos y autónomos, de suerte que no era jurídicamente admisible una orden genérica de devolución de “los montos recibidos como mesadas” sin la depuración temporal de cuáles sumas estaban vivas y cuáles prescritas. [1] Por tanto, la sentencia incurrió en aplicación indebida del artículo 2321 del Código Civil, porque utilizó esa norma para fundar una restitución ilimitada, sin pasar por el examen obligatorio del régimen especial de prescripción laboral. [3][1]</w:t>
      </w:r>
    </w:p>
    <w:p w14:paraId="59200655" w14:textId="77777777" w:rsidR="008E11AC" w:rsidRDefault="00000000">
      <w:pPr>
        <w:spacing w:after="210"/>
      </w:pPr>
      <w:r>
        <w:rPr>
          <w:rFonts w:eastAsia="Georgia" w:hAnsi="Georgia" w:cs="Georgia"/>
        </w:rPr>
        <w:t>Si el Tribunal hubiera aplicado el artículo 151 del CPTSS, no habría podido mantener una condena general e indiscriminada como la proferida, sino que habría debido declarar la prescripción total o parcial de los créditos reclamados, o cuando menos delimitar temporalmente la eventual restitución. [3][1]</w:t>
      </w:r>
    </w:p>
    <w:p w14:paraId="3C9FD98C" w14:textId="77777777" w:rsidR="008E11AC" w:rsidRDefault="00000000">
      <w:pPr>
        <w:spacing w:after="210"/>
      </w:pPr>
      <w:r>
        <w:t>En consecuencia, el cargo debe prosperar. [3]</w:t>
      </w:r>
    </w:p>
    <w:p w14:paraId="5B69B490" w14:textId="77777777" w:rsidR="008E11AC" w:rsidRDefault="00000000">
      <w:pPr>
        <w:spacing w:before="240" w:line="271" w:lineRule="auto"/>
      </w:pPr>
      <w:bookmarkStart w:id="10" w:name="cargo_segundo"/>
      <w:r>
        <w:rPr>
          <w:b/>
          <w:sz w:val="42"/>
        </w:rPr>
        <w:t>Cargo segundo</w:t>
      </w:r>
      <w:bookmarkEnd w:id="10"/>
    </w:p>
    <w:p w14:paraId="0140D6F3" w14:textId="77777777" w:rsidR="008E11AC" w:rsidRDefault="00000000">
      <w:pPr>
        <w:spacing w:before="240" w:line="271" w:lineRule="auto"/>
      </w:pPr>
      <w:bookmarkStart w:id="11" w:name="bm_1_enunciación_2"/>
      <w:r>
        <w:rPr>
          <w:rFonts w:eastAsia="Georgia" w:hAnsi="Georgia" w:cs="Georgia"/>
          <w:b/>
          <w:sz w:val="33"/>
        </w:rPr>
        <w:t>1. Enunciación</w:t>
      </w:r>
      <w:bookmarkEnd w:id="11"/>
    </w:p>
    <w:p w14:paraId="2F82EB90" w14:textId="77777777" w:rsidR="008E11AC" w:rsidRDefault="00000000">
      <w:pPr>
        <w:spacing w:after="210"/>
      </w:pPr>
      <w:r>
        <w:t xml:space="preserve">Acuso la sentencia impugnada por la </w:t>
      </w:r>
      <w:r>
        <w:rPr>
          <w:b/>
        </w:rPr>
        <w:t>causal primera de casaci</w:t>
      </w:r>
      <w:r>
        <w:rPr>
          <w:b/>
        </w:rPr>
        <w:t>ó</w:t>
      </w:r>
      <w:r>
        <w:rPr>
          <w:b/>
        </w:rPr>
        <w:t>n</w:t>
      </w:r>
      <w:r>
        <w:t xml:space="preserve">, por la </w:t>
      </w:r>
      <w:r>
        <w:rPr>
          <w:b/>
        </w:rPr>
        <w:t>v</w:t>
      </w:r>
      <w:r>
        <w:rPr>
          <w:b/>
        </w:rPr>
        <w:t>í</w:t>
      </w:r>
      <w:r>
        <w:rPr>
          <w:b/>
        </w:rPr>
        <w:t>a directa</w:t>
      </w:r>
      <w:r>
        <w:t xml:space="preserve">, en la modalidad de </w:t>
      </w:r>
      <w:r>
        <w:rPr>
          <w:b/>
        </w:rPr>
        <w:t>infracci</w:t>
      </w:r>
      <w:r>
        <w:rPr>
          <w:b/>
        </w:rPr>
        <w:t>ó</w:t>
      </w:r>
      <w:r>
        <w:rPr>
          <w:b/>
        </w:rPr>
        <w:t>n directa</w:t>
      </w:r>
      <w:r>
        <w:rPr>
          <w:rFonts w:eastAsia="Georgia" w:hAnsi="Georgia" w:cs="Georgia"/>
        </w:rPr>
        <w:t xml:space="preserve"> de los artículos </w:t>
      </w:r>
      <w:r>
        <w:rPr>
          <w:b/>
        </w:rPr>
        <w:t>281 del C</w:t>
      </w:r>
      <w:r>
        <w:rPr>
          <w:b/>
        </w:rPr>
        <w:t>ó</w:t>
      </w:r>
      <w:r>
        <w:rPr>
          <w:b/>
        </w:rPr>
        <w:t>digo General del Proceso</w:t>
      </w:r>
      <w:r>
        <w:t xml:space="preserve">, </w:t>
      </w:r>
      <w:r>
        <w:rPr>
          <w:b/>
        </w:rPr>
        <w:t>145 del C</w:t>
      </w:r>
      <w:r>
        <w:rPr>
          <w:b/>
        </w:rPr>
        <w:t>ó</w:t>
      </w:r>
      <w:r>
        <w:rPr>
          <w:b/>
        </w:rPr>
        <w:t>digo Procesal del Trabajo y de la Seguridad Social</w:t>
      </w:r>
      <w:r>
        <w:t xml:space="preserve"> y </w:t>
      </w:r>
      <w:r>
        <w:rPr>
          <w:b/>
        </w:rPr>
        <w:t>2321 del C</w:t>
      </w:r>
      <w:r>
        <w:rPr>
          <w:b/>
        </w:rPr>
        <w:t>ó</w:t>
      </w:r>
      <w:r>
        <w:rPr>
          <w:b/>
        </w:rPr>
        <w:t>digo Civil</w:t>
      </w:r>
      <w:r>
        <w:rPr>
          <w:rFonts w:eastAsia="Georgia" w:hAnsi="Georgia" w:cs="Georgia"/>
        </w:rPr>
        <w:t>, en relación con el deber de congruencia, determinación y fundamentación suficiente de la condena judicial. [1]</w:t>
      </w:r>
    </w:p>
    <w:p w14:paraId="4C93D180" w14:textId="77777777" w:rsidR="008E11AC" w:rsidRDefault="00000000">
      <w:pPr>
        <w:spacing w:before="240" w:line="271" w:lineRule="auto"/>
      </w:pPr>
      <w:bookmarkStart w:id="12" w:name="bm_2_proposición_jurídica_2"/>
      <w:r>
        <w:rPr>
          <w:rFonts w:eastAsia="Georgia" w:hAnsi="Georgia" w:cs="Georgia"/>
          <w:b/>
          <w:sz w:val="33"/>
        </w:rPr>
        <w:t>2. Proposición jurídica</w:t>
      </w:r>
      <w:bookmarkEnd w:id="12"/>
    </w:p>
    <w:p w14:paraId="5DD8E6D7" w14:textId="77777777" w:rsidR="008E11AC" w:rsidRDefault="00000000">
      <w:pPr>
        <w:spacing w:after="210"/>
      </w:pPr>
      <w:r>
        <w:rPr>
          <w:rFonts w:eastAsia="Georgia" w:hAnsi="Georgia" w:cs="Georgia"/>
        </w:rPr>
        <w:t>El Tribunal infringió directamente las normas que gobiernan la congruencia y la debida determinación de la condena, al imponer una restitución general e indeterminada sin contar con soporte completo sobre la fuente material del pago, su cuantía, sus destinatarios y el verdadero alcance objetivo de las sumas repetibles. [1]</w:t>
      </w:r>
    </w:p>
    <w:p w14:paraId="651CA543" w14:textId="77777777" w:rsidR="008E11AC" w:rsidRDefault="00000000">
      <w:pPr>
        <w:spacing w:before="240" w:line="271" w:lineRule="auto"/>
      </w:pPr>
      <w:bookmarkStart w:id="13" w:name="bm_3_demostración_2"/>
      <w:r>
        <w:rPr>
          <w:rFonts w:eastAsia="Georgia" w:hAnsi="Georgia" w:cs="Georgia"/>
          <w:b/>
          <w:sz w:val="33"/>
        </w:rPr>
        <w:t>3. Demostración</w:t>
      </w:r>
      <w:bookmarkEnd w:id="13"/>
    </w:p>
    <w:p w14:paraId="16FCEF68" w14:textId="77777777" w:rsidR="008E11AC" w:rsidRDefault="00000000">
      <w:pPr>
        <w:spacing w:after="210"/>
      </w:pPr>
      <w:r>
        <w:rPr>
          <w:rFonts w:eastAsia="Georgia" w:hAnsi="Georgia" w:cs="Georgia"/>
        </w:rPr>
        <w:t xml:space="preserve">La propia sentencia admite dos extremos de singular importancia. [1] El primero, que no podía emitir pronunciamiento sobre la póliza de renta vitalicia contratada con </w:t>
      </w:r>
      <w:r>
        <w:rPr>
          <w:b/>
        </w:rPr>
        <w:t>Seguros de Vida Alfa S.A.</w:t>
      </w:r>
      <w:r>
        <w:t xml:space="preserve">, porque esa entidad no fue convocada al proceso. [1] El segundo, que solo obraba prueba del valor de mesadas canceladas a </w:t>
      </w:r>
      <w:r>
        <w:rPr>
          <w:b/>
        </w:rPr>
        <w:t>Francisco Javier Arenas Fonseca a partir de marzo de 2006</w:t>
      </w:r>
      <w:r>
        <w:rPr>
          <w:rFonts w:eastAsia="Georgia" w:hAnsi="Georgia" w:cs="Georgia"/>
        </w:rPr>
        <w:t xml:space="preserve">, ignorándose el monto de lo cancelado en su momento a </w:t>
      </w:r>
      <w:r>
        <w:rPr>
          <w:b/>
        </w:rPr>
        <w:t>Ana Luc</w:t>
      </w:r>
      <w:r>
        <w:rPr>
          <w:b/>
        </w:rPr>
        <w:t>í</w:t>
      </w:r>
      <w:r>
        <w:rPr>
          <w:b/>
        </w:rPr>
        <w:t>a Fonseca de Arenas</w:t>
      </w:r>
      <w:r>
        <w:t>. [1]</w:t>
      </w:r>
    </w:p>
    <w:p w14:paraId="00792A1F" w14:textId="77777777" w:rsidR="008E11AC" w:rsidRDefault="00000000">
      <w:pPr>
        <w:spacing w:after="210"/>
      </w:pPr>
      <w:r>
        <w:rPr>
          <w:rFonts w:eastAsia="Georgia" w:hAnsi="Georgia" w:cs="Georgia"/>
        </w:rPr>
        <w:t>Pese a ello, el Tribunal profirió una condena global y abierta contra Francisco Javier Arenas Fonseca, Carlos Fernando Arenas Fonseca, los herederos determinados de Ana Lucía Fonseca y los indeterminados, ordenándoles reintegrar a Porvenir “los montos recibidos como mesadas pensionales”. [1] Esa forma de decidir quebranta la estructura misma del artículo 2321 del Código Civil, pues quien repite un pago debe demostrar qué pagó, a quién lo pagó y en qué cuantía pretende la restitución. [1]</w:t>
      </w:r>
    </w:p>
    <w:p w14:paraId="4351A9B9" w14:textId="77777777" w:rsidR="008E11AC" w:rsidRDefault="00000000">
      <w:pPr>
        <w:spacing w:after="210"/>
      </w:pPr>
      <w:r>
        <w:rPr>
          <w:rFonts w:eastAsia="Georgia" w:hAnsi="Georgia" w:cs="Georgia"/>
        </w:rPr>
        <w:t xml:space="preserve">No basta afirmar que existió un pago no debido para habilitar una condena ilíquida o indeterminada. [1] La sentencia reconoce, por un lado, que uno de los instrumentos </w:t>
      </w:r>
      <w:r>
        <w:rPr>
          <w:rFonts w:eastAsia="Georgia" w:hAnsi="Georgia" w:cs="Georgia"/>
        </w:rPr>
        <w:lastRenderedPageBreak/>
        <w:t>esenciales del esquema de pago —la póliza de renta vitalicia— quedó por fuera del proceso; y, por otro, que no se acreditó integralmente el valor de lo pagado a todos los eventuales obligados. [1] Aun así, trasladó a la parte demandada una obligación genérica de restitución que no quedó materialmente delimitada en la parte motiva ni en la resolutiva. [1]</w:t>
      </w:r>
    </w:p>
    <w:p w14:paraId="2EE8FC78" w14:textId="77777777" w:rsidR="008E11AC" w:rsidRDefault="00000000">
      <w:pPr>
        <w:spacing w:after="210"/>
      </w:pPr>
      <w:r>
        <w:rPr>
          <w:rFonts w:eastAsia="Georgia" w:hAnsi="Georgia" w:cs="Georgia"/>
        </w:rPr>
        <w:t>Tampoco resulta congruente condenar a personas determinadas e indeterminadas por montos no individualizados, cuando el mismo fallo acepta que el acervo documental no permite concretar lo cancelado a una de las beneficiarias originarias. [1] La congruencia no solo se predica de la correspondencia entre pretensiones y fallo, sino también de la necesidad de que la decisión sea cierta, determinada y susceptible de ejecución sobre bases objetivas. [1]</w:t>
      </w:r>
    </w:p>
    <w:p w14:paraId="3B2A59DE" w14:textId="77777777" w:rsidR="008E11AC" w:rsidRDefault="00000000">
      <w:pPr>
        <w:spacing w:after="210"/>
      </w:pPr>
      <w:r>
        <w:rPr>
          <w:rFonts w:eastAsia="Georgia" w:hAnsi="Georgia" w:cs="Georgia"/>
        </w:rPr>
        <w:t>En estas condiciones, el Tribunal infringió directamente las normas que le imponían resolver con precisión y soporte suficiente la condena restitutoria. [1] Esa infracción tiene incidencia decisiva, porque sin ella la decisión no habría podido mantenerse en los términos amplios y genéricos en que fue proferida. [1]</w:t>
      </w:r>
    </w:p>
    <w:p w14:paraId="62C65E0E" w14:textId="77777777" w:rsidR="008E11AC" w:rsidRDefault="00000000">
      <w:pPr>
        <w:spacing w:after="210"/>
      </w:pPr>
      <w:r>
        <w:rPr>
          <w:rFonts w:eastAsia="Georgia" w:hAnsi="Georgia" w:cs="Georgia"/>
        </w:rPr>
        <w:t>El cargo, por ende, está llamado a prosperar. [1]</w:t>
      </w:r>
    </w:p>
    <w:p w14:paraId="6F133911" w14:textId="77777777" w:rsidR="008E11AC" w:rsidRDefault="00000000">
      <w:pPr>
        <w:spacing w:before="240" w:line="271" w:lineRule="auto"/>
      </w:pPr>
      <w:bookmarkStart w:id="14" w:name="cargo_tercero"/>
      <w:r>
        <w:rPr>
          <w:b/>
          <w:sz w:val="42"/>
        </w:rPr>
        <w:t>Cargo tercero</w:t>
      </w:r>
      <w:bookmarkEnd w:id="14"/>
    </w:p>
    <w:p w14:paraId="4F81364A" w14:textId="77777777" w:rsidR="008E11AC" w:rsidRDefault="00000000">
      <w:pPr>
        <w:spacing w:before="240" w:line="271" w:lineRule="auto"/>
      </w:pPr>
      <w:bookmarkStart w:id="15" w:name="bm_1_enunciación_3"/>
      <w:r>
        <w:rPr>
          <w:rFonts w:eastAsia="Georgia" w:hAnsi="Georgia" w:cs="Georgia"/>
          <w:b/>
          <w:sz w:val="33"/>
        </w:rPr>
        <w:t>1. Enunciación</w:t>
      </w:r>
      <w:bookmarkEnd w:id="15"/>
    </w:p>
    <w:p w14:paraId="2B0C8B20" w14:textId="77777777" w:rsidR="008E11AC" w:rsidRDefault="00000000">
      <w:pPr>
        <w:spacing w:after="210"/>
      </w:pPr>
      <w:r>
        <w:t xml:space="preserve">Acuso la sentencia impugnada por la </w:t>
      </w:r>
      <w:r>
        <w:rPr>
          <w:b/>
        </w:rPr>
        <w:t>causal primera de casaci</w:t>
      </w:r>
      <w:r>
        <w:rPr>
          <w:b/>
        </w:rPr>
        <w:t>ó</w:t>
      </w:r>
      <w:r>
        <w:rPr>
          <w:b/>
        </w:rPr>
        <w:t>n</w:t>
      </w:r>
      <w:r>
        <w:t xml:space="preserve">, por la </w:t>
      </w:r>
      <w:r>
        <w:rPr>
          <w:b/>
        </w:rPr>
        <w:t>v</w:t>
      </w:r>
      <w:r>
        <w:rPr>
          <w:b/>
        </w:rPr>
        <w:t>í</w:t>
      </w:r>
      <w:r>
        <w:rPr>
          <w:b/>
        </w:rPr>
        <w:t>a indirecta</w:t>
      </w:r>
      <w:r>
        <w:t xml:space="preserve">, por </w:t>
      </w:r>
      <w:r>
        <w:rPr>
          <w:b/>
        </w:rPr>
        <w:t>aplicaci</w:t>
      </w:r>
      <w:r>
        <w:rPr>
          <w:b/>
        </w:rPr>
        <w:t>ó</w:t>
      </w:r>
      <w:r>
        <w:rPr>
          <w:b/>
        </w:rPr>
        <w:t>n indebida</w:t>
      </w:r>
      <w:r>
        <w:rPr>
          <w:rFonts w:eastAsia="Georgia" w:hAnsi="Georgia" w:cs="Georgia"/>
        </w:rPr>
        <w:t xml:space="preserve"> del artículo </w:t>
      </w:r>
      <w:r>
        <w:rPr>
          <w:b/>
        </w:rPr>
        <w:t>2321 del C</w:t>
      </w:r>
      <w:r>
        <w:rPr>
          <w:b/>
        </w:rPr>
        <w:t>ó</w:t>
      </w:r>
      <w:r>
        <w:rPr>
          <w:b/>
        </w:rPr>
        <w:t>digo Civil</w:t>
      </w:r>
      <w:r>
        <w:t xml:space="preserve">, como consecuencia de </w:t>
      </w:r>
      <w:r>
        <w:rPr>
          <w:b/>
        </w:rPr>
        <w:t>errores de hecho manifiestos</w:t>
      </w:r>
      <w:r>
        <w:rPr>
          <w:rFonts w:eastAsia="Georgia" w:hAnsi="Georgia" w:cs="Georgia"/>
        </w:rPr>
        <w:t xml:space="preserve"> en la apreciación de la prueba documental calificada. [1][5]</w:t>
      </w:r>
    </w:p>
    <w:p w14:paraId="1B422717" w14:textId="77777777" w:rsidR="008E11AC" w:rsidRDefault="00000000">
      <w:pPr>
        <w:spacing w:before="240" w:line="271" w:lineRule="auto"/>
      </w:pPr>
      <w:bookmarkStart w:id="16" w:name="bm_2_proposición_jurídica_3"/>
      <w:r>
        <w:rPr>
          <w:rFonts w:eastAsia="Georgia" w:hAnsi="Georgia" w:cs="Georgia"/>
          <w:b/>
          <w:sz w:val="33"/>
        </w:rPr>
        <w:t>2. Proposición jurídica</w:t>
      </w:r>
      <w:bookmarkEnd w:id="16"/>
    </w:p>
    <w:p w14:paraId="53E25660" w14:textId="77777777" w:rsidR="008E11AC" w:rsidRDefault="00000000">
      <w:pPr>
        <w:spacing w:after="210"/>
      </w:pPr>
      <w:r>
        <w:rPr>
          <w:rFonts w:eastAsia="Georgia" w:hAnsi="Georgia" w:cs="Georgia"/>
        </w:rPr>
        <w:t>El Tribunal aplicó indebidamente el artículo 2321 del Código Civil al dar por demostrada la procedencia de una condena restitutoria general respecto de todos los demandados y herederos, pese a que la documental solo acreditaba, según su propio dicho, pagos a Francisco Javier Arenas Fonseca a partir de marzo de 2006 y no el quantum íntegro de las sumas atribuidas a los demás obligados. [1]</w:t>
      </w:r>
    </w:p>
    <w:p w14:paraId="2D18837B" w14:textId="77777777" w:rsidR="008E11AC" w:rsidRDefault="00000000">
      <w:pPr>
        <w:spacing w:before="240" w:line="271" w:lineRule="auto"/>
      </w:pPr>
      <w:bookmarkStart w:id="17" w:name="bm_3_pruebas_calificadas_denunciadas"/>
      <w:r>
        <w:rPr>
          <w:b/>
          <w:sz w:val="33"/>
        </w:rPr>
        <w:t>3. Pruebas calificadas denunciadas</w:t>
      </w:r>
      <w:bookmarkEnd w:id="17"/>
    </w:p>
    <w:p w14:paraId="2078E106" w14:textId="77777777" w:rsidR="008E11AC" w:rsidRDefault="00000000">
      <w:pPr>
        <w:spacing w:after="210"/>
      </w:pPr>
      <w:r>
        <w:t>Se denuncian como mal apreciadas las siguientes pruebas documentales calificadas:</w:t>
      </w:r>
    </w:p>
    <w:p w14:paraId="585D66C4" w14:textId="77777777" w:rsidR="008E11AC" w:rsidRDefault="00000000">
      <w:pPr>
        <w:numPr>
          <w:ilvl w:val="0"/>
          <w:numId w:val="4"/>
        </w:numPr>
      </w:pPr>
      <w:r>
        <w:t xml:space="preserve">La </w:t>
      </w:r>
      <w:r>
        <w:rPr>
          <w:b/>
        </w:rPr>
        <w:t>relaci</w:t>
      </w:r>
      <w:r>
        <w:rPr>
          <w:b/>
        </w:rPr>
        <w:t>ó</w:t>
      </w:r>
      <w:r>
        <w:rPr>
          <w:b/>
        </w:rPr>
        <w:t>n de pago de mesadas realizada por Seguros de Vida Alfa S.A.</w:t>
      </w:r>
      <w:r>
        <w:t>, incorporada como archivo 16 de primera instancia. [1]</w:t>
      </w:r>
    </w:p>
    <w:p w14:paraId="123C40E7" w14:textId="77777777" w:rsidR="008E11AC" w:rsidRDefault="00000000">
      <w:pPr>
        <w:numPr>
          <w:ilvl w:val="0"/>
          <w:numId w:val="4"/>
        </w:numPr>
      </w:pPr>
      <w:r>
        <w:rPr>
          <w:rFonts w:eastAsia="Georgia" w:hAnsi="Georgia" w:cs="Georgia"/>
        </w:rPr>
        <w:t>La motivación misma de la sentencia del Tribunal en cuanto reconoce que “solo obra prueba del valor de mesadas canceladas a Francisco Javier Arenas Fonseca a partir de marzo de 2006” y que se ignora el monto de lo cancelado a Ana Lucía Fonseca. [1]</w:t>
      </w:r>
    </w:p>
    <w:p w14:paraId="2C928D46" w14:textId="77777777" w:rsidR="008E11AC" w:rsidRDefault="00000000">
      <w:pPr>
        <w:spacing w:before="240" w:line="271" w:lineRule="auto"/>
      </w:pPr>
      <w:bookmarkStart w:id="18" w:name="bm_4_demostración"/>
      <w:r>
        <w:rPr>
          <w:rFonts w:eastAsia="Georgia" w:hAnsi="Georgia" w:cs="Georgia"/>
          <w:b/>
          <w:sz w:val="33"/>
        </w:rPr>
        <w:t>4. Demostración</w:t>
      </w:r>
      <w:bookmarkEnd w:id="18"/>
    </w:p>
    <w:p w14:paraId="0D42887B" w14:textId="77777777" w:rsidR="008E11AC" w:rsidRDefault="00000000">
      <w:pPr>
        <w:spacing w:after="210"/>
      </w:pPr>
      <w:r>
        <w:rPr>
          <w:rFonts w:eastAsia="Georgia" w:hAnsi="Georgia" w:cs="Georgia"/>
        </w:rPr>
        <w:t>El Tribunal tuvo por procedente la repetición general de los montos recibidos como mesadas pensionales frente a todos los sujetos condenados. [1] Sin embargo, al valorar la prueba documental, dejó consignado expresamente que solo estaba acreditado el valor de mesadas pagadas a Francisco Javier Arenas Fonseca desde marzo de 2006 y que se desconocía el monto de lo pagado a Ana Lucía Fonseca de Arenas. [1]</w:t>
      </w:r>
    </w:p>
    <w:p w14:paraId="4C7A8630" w14:textId="77777777" w:rsidR="008E11AC" w:rsidRDefault="00000000">
      <w:pPr>
        <w:spacing w:after="210"/>
      </w:pPr>
      <w:r>
        <w:rPr>
          <w:rFonts w:eastAsia="Georgia" w:hAnsi="Georgia" w:cs="Georgia"/>
        </w:rPr>
        <w:lastRenderedPageBreak/>
        <w:t>De esa afirmación objetiva se sigue que el acervo probatorio no demostraba integralmente el quantum de la obligación restitutoria respecto de todos los condenados. [1] El error del Tribunal consistió en pasar de una prueba fragmentaria y parcial a una conclusión universal y plena sobre la obligación de reintegro, extendiéndola incluso a herederos determinados e indeterminados, sin soporte documental completo. [1]</w:t>
      </w:r>
    </w:p>
    <w:p w14:paraId="137ABF6C" w14:textId="77777777" w:rsidR="008E11AC" w:rsidRDefault="00000000">
      <w:pPr>
        <w:spacing w:after="210"/>
      </w:pPr>
      <w:r>
        <w:rPr>
          <w:rFonts w:eastAsia="Georgia" w:hAnsi="Georgia" w:cs="Georgia"/>
        </w:rPr>
        <w:t>La contradicción es ostensible: si se ignora el monto de lo cancelado a una beneficiaria originaria y no se tiene cuantificado de manera completa el pago respecto de todos los sujetos pasivos, no podía jurídicamente sostenerse una condena global al reintegro de los montos recibidos. [1] Lo que la prueba documental acreditaba, en el mejor de los casos, era un segmento específico de pagos a uno de los beneficiarios, no la totalidad del universo económico cuya devolución se dispuso. [1]</w:t>
      </w:r>
    </w:p>
    <w:p w14:paraId="670E5FDC" w14:textId="77777777" w:rsidR="008E11AC" w:rsidRDefault="00000000">
      <w:pPr>
        <w:spacing w:after="210"/>
      </w:pPr>
      <w:r>
        <w:rPr>
          <w:rFonts w:eastAsia="Georgia" w:hAnsi="Georgia" w:cs="Georgia"/>
        </w:rPr>
        <w:t>Ese error fáctico condujo a la aplicación indebida del artículo 2321 del Código Civil, porque se reputó probado un presupuesto esencial de la repetición —la determinación del pago debido a restituir— sin que la documental ofreciera respaldo suficiente para ello. [1] Eliminado ese yerro, la condena general al reintegro no puede subsistir. [1]</w:t>
      </w:r>
    </w:p>
    <w:p w14:paraId="2D805BA8" w14:textId="77777777" w:rsidR="008E11AC" w:rsidRDefault="00000000">
      <w:pPr>
        <w:spacing w:after="210"/>
      </w:pPr>
      <w:r>
        <w:t>Por tanto, el cargo debe prosperar. [1]</w:t>
      </w:r>
    </w:p>
    <w:p w14:paraId="3049029D" w14:textId="77777777" w:rsidR="008E11AC" w:rsidRDefault="00000000">
      <w:pPr>
        <w:spacing w:before="240" w:line="271" w:lineRule="auto"/>
      </w:pPr>
      <w:bookmarkStart w:id="19" w:name="v_solicitud_final"/>
      <w:r>
        <w:rPr>
          <w:b/>
          <w:sz w:val="42"/>
        </w:rPr>
        <w:t>V. Solicitud final</w:t>
      </w:r>
      <w:bookmarkEnd w:id="19"/>
    </w:p>
    <w:p w14:paraId="7BF61EEB" w14:textId="77777777" w:rsidR="008E11AC" w:rsidRDefault="00000000">
      <w:pPr>
        <w:spacing w:after="210"/>
      </w:pPr>
      <w:r>
        <w:rPr>
          <w:rFonts w:eastAsia="Georgia" w:hAnsi="Georgia" w:cs="Georgia"/>
        </w:rPr>
        <w:t>Por las razones expuestas, se solicita a la Honorable Corte Suprema de Justicia, Sala de Casación Laboral, que:</w:t>
      </w:r>
    </w:p>
    <w:p w14:paraId="2C0D0E11" w14:textId="77777777" w:rsidR="008E11AC" w:rsidRDefault="00000000">
      <w:pPr>
        <w:numPr>
          <w:ilvl w:val="0"/>
          <w:numId w:val="5"/>
        </w:numPr>
      </w:pPr>
      <w:r>
        <w:rPr>
          <w:b/>
        </w:rPr>
        <w:t>Case parcialmente</w:t>
      </w:r>
      <w:r>
        <w:t xml:space="preserve"> la sentencia proferida el </w:t>
      </w:r>
      <w:r>
        <w:rPr>
          <w:b/>
        </w:rPr>
        <w:t>31 de octubre de 2025</w:t>
      </w:r>
      <w:r>
        <w:rPr>
          <w:rFonts w:eastAsia="Georgia" w:hAnsi="Georgia" w:cs="Georgia"/>
        </w:rPr>
        <w:t xml:space="preserve"> por la Sala Laboral del Tribunal Superior del Distrito Judicial de Tunja, en cuanto ordenó el reintegro de los montos recibidos como mesadas pensionales y los intereses de mora derivados de esa condena. [1]</w:t>
      </w:r>
    </w:p>
    <w:p w14:paraId="0BE15CD9" w14:textId="77777777" w:rsidR="008E11AC" w:rsidRDefault="00000000">
      <w:pPr>
        <w:numPr>
          <w:ilvl w:val="0"/>
          <w:numId w:val="5"/>
        </w:numPr>
      </w:pPr>
      <w:r>
        <w:t xml:space="preserve">En sede de instancia, </w:t>
      </w:r>
      <w:r>
        <w:rPr>
          <w:b/>
        </w:rPr>
        <w:t>confirme la sentencia de primer grado</w:t>
      </w:r>
      <w:r>
        <w:rPr>
          <w:rFonts w:eastAsia="Georgia" w:hAnsi="Georgia" w:cs="Georgia"/>
        </w:rPr>
        <w:t xml:space="preserve"> que negó las pretensiones restitutorias de AFP PORVENIR S.A.; o, subsidiariamente, [1][2]</w:t>
      </w:r>
    </w:p>
    <w:p w14:paraId="5FB3ACEC" w14:textId="77777777" w:rsidR="008E11AC" w:rsidRDefault="00000000">
      <w:pPr>
        <w:numPr>
          <w:ilvl w:val="0"/>
          <w:numId w:val="5"/>
        </w:numPr>
      </w:pPr>
      <w:r>
        <w:rPr>
          <w:b/>
        </w:rPr>
        <w:t>Revoque o limite</w:t>
      </w:r>
      <w:r>
        <w:rPr>
          <w:rFonts w:eastAsia="Georgia" w:hAnsi="Georgia" w:cs="Georgia"/>
        </w:rPr>
        <w:t xml:space="preserve"> la condena impuesta, excluyendo toda suma no probada, no individualizada o afectada por la prescripción trienal. [3][1]</w:t>
      </w:r>
    </w:p>
    <w:p w14:paraId="0AFDCD81" w14:textId="77777777" w:rsidR="008E11AC" w:rsidRDefault="00000000">
      <w:pPr>
        <w:spacing w:before="240" w:line="271" w:lineRule="auto"/>
      </w:pPr>
      <w:bookmarkStart w:id="20" w:name="vi_petición_subsidiaria_de_técnica"/>
      <w:r>
        <w:rPr>
          <w:rFonts w:eastAsia="Georgia" w:hAnsi="Georgia" w:cs="Georgia"/>
          <w:b/>
          <w:sz w:val="42"/>
        </w:rPr>
        <w:t>VI. Petición subsidiaria de técnica</w:t>
      </w:r>
      <w:bookmarkEnd w:id="20"/>
    </w:p>
    <w:p w14:paraId="45C17354" w14:textId="77777777" w:rsidR="008E11AC" w:rsidRDefault="00000000">
      <w:pPr>
        <w:spacing w:after="210"/>
      </w:pPr>
      <w:r>
        <w:rPr>
          <w:rFonts w:eastAsia="Georgia" w:hAnsi="Georgia" w:cs="Georgia"/>
        </w:rPr>
        <w:t>En el evento de que la Corte estime que no hay mérito para confirmar íntegramente el fallo de primera instancia, se solicita, subsidiariamente, que en sede de instancia restrinja cualquier decisión restitutoria a las sumas efectivamente probadas en el expediente, individualizadas por destinatario y limitadas por el fenómeno prescriptivo. [3][1]</w:t>
      </w:r>
    </w:p>
    <w:p w14:paraId="29723077" w14:textId="77777777" w:rsidR="008E11AC" w:rsidRDefault="00000000">
      <w:pPr>
        <w:spacing w:after="210"/>
      </w:pPr>
      <w:r>
        <w:t>Respetuosamente,</w:t>
      </w:r>
    </w:p>
    <w:p w14:paraId="1CB9FBA2" w14:textId="77777777" w:rsidR="008E11AC" w:rsidRDefault="00000000">
      <w:pPr>
        <w:spacing w:after="210"/>
      </w:pPr>
      <w:r>
        <w:rPr>
          <w:b/>
        </w:rPr>
        <w:t>CARLOS HAROLDO BERM</w:t>
      </w:r>
      <w:r>
        <w:rPr>
          <w:b/>
        </w:rPr>
        <w:t>Ú</w:t>
      </w:r>
      <w:r>
        <w:rPr>
          <w:b/>
        </w:rPr>
        <w:t>DEZ MART</w:t>
      </w:r>
      <w:r>
        <w:rPr>
          <w:b/>
        </w:rPr>
        <w:t>Í</w:t>
      </w:r>
      <w:r>
        <w:rPr>
          <w:b/>
        </w:rPr>
        <w:t>NEZ</w:t>
      </w:r>
      <w:r>
        <w:br/>
        <w:t>C.C. 7.164.979 de Tunja</w:t>
      </w:r>
      <w:r>
        <w:br/>
        <w:t>T.P. 269131 del C.S. de la J.</w:t>
      </w:r>
    </w:p>
    <w:sectPr w:rsidR="008E11AC">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A2030"/>
    <w:multiLevelType w:val="hybridMultilevel"/>
    <w:tmpl w:val="21AADE42"/>
    <w:lvl w:ilvl="0" w:tplc="0A328E0C">
      <w:start w:val="1"/>
      <w:numFmt w:val="bullet"/>
      <w:lvlText w:val=""/>
      <w:lvlJc w:val="left"/>
      <w:pPr>
        <w:tabs>
          <w:tab w:val="num" w:pos="1080"/>
        </w:tabs>
        <w:ind w:left="720" w:hanging="360"/>
      </w:pPr>
      <w:rPr>
        <w:rFonts w:ascii="Symbol" w:hAnsi="Symbol" w:hint="default"/>
      </w:rPr>
    </w:lvl>
    <w:lvl w:ilvl="1" w:tplc="CF56D442">
      <w:numFmt w:val="decimal"/>
      <w:lvlText w:val=""/>
      <w:lvlJc w:val="left"/>
    </w:lvl>
    <w:lvl w:ilvl="2" w:tplc="A7561B62">
      <w:numFmt w:val="decimal"/>
      <w:lvlText w:val=""/>
      <w:lvlJc w:val="left"/>
    </w:lvl>
    <w:lvl w:ilvl="3" w:tplc="02D01EE2">
      <w:numFmt w:val="decimal"/>
      <w:lvlText w:val=""/>
      <w:lvlJc w:val="left"/>
    </w:lvl>
    <w:lvl w:ilvl="4" w:tplc="06CE66F0">
      <w:numFmt w:val="decimal"/>
      <w:lvlText w:val=""/>
      <w:lvlJc w:val="left"/>
    </w:lvl>
    <w:lvl w:ilvl="5" w:tplc="7068E2FC">
      <w:numFmt w:val="decimal"/>
      <w:lvlText w:val=""/>
      <w:lvlJc w:val="left"/>
    </w:lvl>
    <w:lvl w:ilvl="6" w:tplc="5BAC393C">
      <w:numFmt w:val="decimal"/>
      <w:lvlText w:val=""/>
      <w:lvlJc w:val="left"/>
    </w:lvl>
    <w:lvl w:ilvl="7" w:tplc="3664ED80">
      <w:numFmt w:val="decimal"/>
      <w:lvlText w:val=""/>
      <w:lvlJc w:val="left"/>
    </w:lvl>
    <w:lvl w:ilvl="8" w:tplc="C56E81D8">
      <w:numFmt w:val="decimal"/>
      <w:lvlText w:val=""/>
      <w:lvlJc w:val="left"/>
    </w:lvl>
  </w:abstractNum>
  <w:abstractNum w:abstractNumId="1" w15:restartNumberingAfterBreak="0">
    <w:nsid w:val="25C11C72"/>
    <w:multiLevelType w:val="hybridMultilevel"/>
    <w:tmpl w:val="026072E6"/>
    <w:lvl w:ilvl="0" w:tplc="5F98BFD0">
      <w:start w:val="1"/>
      <w:numFmt w:val="decimal"/>
      <w:lvlText w:val="%1."/>
      <w:lvlJc w:val="left"/>
      <w:pPr>
        <w:tabs>
          <w:tab w:val="num" w:pos="1080"/>
        </w:tabs>
        <w:ind w:left="720" w:hanging="360"/>
      </w:pPr>
    </w:lvl>
    <w:lvl w:ilvl="1" w:tplc="1C147CCA">
      <w:numFmt w:val="decimal"/>
      <w:lvlText w:val=""/>
      <w:lvlJc w:val="left"/>
    </w:lvl>
    <w:lvl w:ilvl="2" w:tplc="C77C8D66">
      <w:numFmt w:val="decimal"/>
      <w:lvlText w:val=""/>
      <w:lvlJc w:val="left"/>
    </w:lvl>
    <w:lvl w:ilvl="3" w:tplc="1DEC71AE">
      <w:numFmt w:val="decimal"/>
      <w:lvlText w:val=""/>
      <w:lvlJc w:val="left"/>
    </w:lvl>
    <w:lvl w:ilvl="4" w:tplc="C0E22352">
      <w:numFmt w:val="decimal"/>
      <w:lvlText w:val=""/>
      <w:lvlJc w:val="left"/>
    </w:lvl>
    <w:lvl w:ilvl="5" w:tplc="72CC7DD2">
      <w:numFmt w:val="decimal"/>
      <w:lvlText w:val=""/>
      <w:lvlJc w:val="left"/>
    </w:lvl>
    <w:lvl w:ilvl="6" w:tplc="628E8058">
      <w:numFmt w:val="decimal"/>
      <w:lvlText w:val=""/>
      <w:lvlJc w:val="left"/>
    </w:lvl>
    <w:lvl w:ilvl="7" w:tplc="42B69A50">
      <w:numFmt w:val="decimal"/>
      <w:lvlText w:val=""/>
      <w:lvlJc w:val="left"/>
    </w:lvl>
    <w:lvl w:ilvl="8" w:tplc="9446CEFA">
      <w:numFmt w:val="decimal"/>
      <w:lvlText w:val=""/>
      <w:lvlJc w:val="left"/>
    </w:lvl>
  </w:abstractNum>
  <w:abstractNum w:abstractNumId="2" w15:restartNumberingAfterBreak="0">
    <w:nsid w:val="41CF5848"/>
    <w:multiLevelType w:val="hybridMultilevel"/>
    <w:tmpl w:val="2EF254C0"/>
    <w:lvl w:ilvl="0" w:tplc="99F4D064">
      <w:start w:val="1"/>
      <w:numFmt w:val="decimal"/>
      <w:lvlText w:val="%1."/>
      <w:lvlJc w:val="left"/>
      <w:pPr>
        <w:tabs>
          <w:tab w:val="num" w:pos="1080"/>
        </w:tabs>
        <w:ind w:left="720" w:hanging="360"/>
      </w:pPr>
    </w:lvl>
    <w:lvl w:ilvl="1" w:tplc="43F4565C">
      <w:numFmt w:val="decimal"/>
      <w:lvlText w:val=""/>
      <w:lvlJc w:val="left"/>
    </w:lvl>
    <w:lvl w:ilvl="2" w:tplc="8F0E97C6">
      <w:numFmt w:val="decimal"/>
      <w:lvlText w:val=""/>
      <w:lvlJc w:val="left"/>
    </w:lvl>
    <w:lvl w:ilvl="3" w:tplc="05F2504C">
      <w:numFmt w:val="decimal"/>
      <w:lvlText w:val=""/>
      <w:lvlJc w:val="left"/>
    </w:lvl>
    <w:lvl w:ilvl="4" w:tplc="0BE24D3E">
      <w:numFmt w:val="decimal"/>
      <w:lvlText w:val=""/>
      <w:lvlJc w:val="left"/>
    </w:lvl>
    <w:lvl w:ilvl="5" w:tplc="B6381E84">
      <w:numFmt w:val="decimal"/>
      <w:lvlText w:val=""/>
      <w:lvlJc w:val="left"/>
    </w:lvl>
    <w:lvl w:ilvl="6" w:tplc="13C6FBB2">
      <w:numFmt w:val="decimal"/>
      <w:lvlText w:val=""/>
      <w:lvlJc w:val="left"/>
    </w:lvl>
    <w:lvl w:ilvl="7" w:tplc="A8CADA9E">
      <w:numFmt w:val="decimal"/>
      <w:lvlText w:val=""/>
      <w:lvlJc w:val="left"/>
    </w:lvl>
    <w:lvl w:ilvl="8" w:tplc="67083420">
      <w:numFmt w:val="decimal"/>
      <w:lvlText w:val=""/>
      <w:lvlJc w:val="left"/>
    </w:lvl>
  </w:abstractNum>
  <w:abstractNum w:abstractNumId="3" w15:restartNumberingAfterBreak="0">
    <w:nsid w:val="48DA073A"/>
    <w:multiLevelType w:val="hybridMultilevel"/>
    <w:tmpl w:val="C9C650C6"/>
    <w:lvl w:ilvl="0" w:tplc="44A0F9F2">
      <w:start w:val="1"/>
      <w:numFmt w:val="decimal"/>
      <w:lvlText w:val="%1."/>
      <w:lvlJc w:val="left"/>
      <w:pPr>
        <w:tabs>
          <w:tab w:val="num" w:pos="1080"/>
        </w:tabs>
        <w:ind w:left="720" w:hanging="360"/>
      </w:pPr>
    </w:lvl>
    <w:lvl w:ilvl="1" w:tplc="80E8AF3C">
      <w:numFmt w:val="decimal"/>
      <w:lvlText w:val=""/>
      <w:lvlJc w:val="left"/>
    </w:lvl>
    <w:lvl w:ilvl="2" w:tplc="0ED4551E">
      <w:numFmt w:val="decimal"/>
      <w:lvlText w:val=""/>
      <w:lvlJc w:val="left"/>
    </w:lvl>
    <w:lvl w:ilvl="3" w:tplc="CD2CAB76">
      <w:numFmt w:val="decimal"/>
      <w:lvlText w:val=""/>
      <w:lvlJc w:val="left"/>
    </w:lvl>
    <w:lvl w:ilvl="4" w:tplc="50C05C3A">
      <w:numFmt w:val="decimal"/>
      <w:lvlText w:val=""/>
      <w:lvlJc w:val="left"/>
    </w:lvl>
    <w:lvl w:ilvl="5" w:tplc="A762EB1E">
      <w:numFmt w:val="decimal"/>
      <w:lvlText w:val=""/>
      <w:lvlJc w:val="left"/>
    </w:lvl>
    <w:lvl w:ilvl="6" w:tplc="7016731C">
      <w:numFmt w:val="decimal"/>
      <w:lvlText w:val=""/>
      <w:lvlJc w:val="left"/>
    </w:lvl>
    <w:lvl w:ilvl="7" w:tplc="66647184">
      <w:numFmt w:val="decimal"/>
      <w:lvlText w:val=""/>
      <w:lvlJc w:val="left"/>
    </w:lvl>
    <w:lvl w:ilvl="8" w:tplc="69ECF636">
      <w:numFmt w:val="decimal"/>
      <w:lvlText w:val=""/>
      <w:lvlJc w:val="left"/>
    </w:lvl>
  </w:abstractNum>
  <w:abstractNum w:abstractNumId="4" w15:restartNumberingAfterBreak="0">
    <w:nsid w:val="6F206D6A"/>
    <w:multiLevelType w:val="hybridMultilevel"/>
    <w:tmpl w:val="88E4281C"/>
    <w:lvl w:ilvl="0" w:tplc="00007F9A">
      <w:start w:val="1"/>
      <w:numFmt w:val="decimal"/>
      <w:lvlText w:val="%1."/>
      <w:lvlJc w:val="left"/>
      <w:pPr>
        <w:tabs>
          <w:tab w:val="num" w:pos="1080"/>
        </w:tabs>
        <w:ind w:left="720" w:hanging="360"/>
      </w:pPr>
    </w:lvl>
    <w:lvl w:ilvl="1" w:tplc="9F5AEE06">
      <w:numFmt w:val="decimal"/>
      <w:lvlText w:val=""/>
      <w:lvlJc w:val="left"/>
    </w:lvl>
    <w:lvl w:ilvl="2" w:tplc="EAC0601A">
      <w:numFmt w:val="decimal"/>
      <w:lvlText w:val=""/>
      <w:lvlJc w:val="left"/>
    </w:lvl>
    <w:lvl w:ilvl="3" w:tplc="3D5083CA">
      <w:numFmt w:val="decimal"/>
      <w:lvlText w:val=""/>
      <w:lvlJc w:val="left"/>
    </w:lvl>
    <w:lvl w:ilvl="4" w:tplc="75AA6B0C">
      <w:numFmt w:val="decimal"/>
      <w:lvlText w:val=""/>
      <w:lvlJc w:val="left"/>
    </w:lvl>
    <w:lvl w:ilvl="5" w:tplc="0B24DA64">
      <w:numFmt w:val="decimal"/>
      <w:lvlText w:val=""/>
      <w:lvlJc w:val="left"/>
    </w:lvl>
    <w:lvl w:ilvl="6" w:tplc="D638B63A">
      <w:numFmt w:val="decimal"/>
      <w:lvlText w:val=""/>
      <w:lvlJc w:val="left"/>
    </w:lvl>
    <w:lvl w:ilvl="7" w:tplc="8258D5BA">
      <w:numFmt w:val="decimal"/>
      <w:lvlText w:val=""/>
      <w:lvlJc w:val="left"/>
    </w:lvl>
    <w:lvl w:ilvl="8" w:tplc="FD984B58">
      <w:numFmt w:val="decimal"/>
      <w:lvlText w:val=""/>
      <w:lvlJc w:val="left"/>
    </w:lvl>
  </w:abstractNum>
  <w:num w:numId="1" w16cid:durableId="1575046964">
    <w:abstractNumId w:val="3"/>
  </w:num>
  <w:num w:numId="2" w16cid:durableId="1738018375">
    <w:abstractNumId w:val="0"/>
  </w:num>
  <w:num w:numId="3" w16cid:durableId="1640763062">
    <w:abstractNumId w:val="4"/>
  </w:num>
  <w:num w:numId="4" w16cid:durableId="1128089990">
    <w:abstractNumId w:val="2"/>
  </w:num>
  <w:num w:numId="5" w16cid:durableId="1788234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AC"/>
    <w:rsid w:val="00107C47"/>
    <w:rsid w:val="00253637"/>
    <w:rsid w:val="005D5647"/>
    <w:rsid w:val="008E11AC"/>
    <w:rsid w:val="009E57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B70B"/>
  <w15:docId w15:val="{3BC94098-6677-4B02-B1DC-31C47662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2488</Words>
  <Characters>13688</Characters>
  <Application>Microsoft Office Word</Application>
  <DocSecurity>0</DocSecurity>
  <Lines>114</Lines>
  <Paragraphs>32</Paragraphs>
  <ScaleCrop>false</ScaleCrop>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CarfherPC</cp:lastModifiedBy>
  <cp:revision>2</cp:revision>
  <dcterms:created xsi:type="dcterms:W3CDTF">2026-04-02T23:04:00Z</dcterms:created>
  <dcterms:modified xsi:type="dcterms:W3CDTF">2026-04-02T23:04:00Z</dcterms:modified>
</cp:coreProperties>
</file>