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786DB" w14:textId="77777777" w:rsidR="00C2724E" w:rsidRPr="00C2724E" w:rsidRDefault="00C2724E" w:rsidP="00C2724E">
      <w:r w:rsidRPr="00C2724E">
        <w:rPr>
          <w:b/>
          <w:bCs/>
        </w:rPr>
        <w:t>Referencia:</w:t>
      </w:r>
      <w:r w:rsidRPr="00C2724E">
        <w:t> Proceso ordinario laboral</w:t>
      </w:r>
      <w:r w:rsidRPr="00C2724E">
        <w:br/>
      </w:r>
      <w:r w:rsidRPr="00C2724E">
        <w:rPr>
          <w:b/>
          <w:bCs/>
        </w:rPr>
        <w:t>Demandante:</w:t>
      </w:r>
      <w:r w:rsidRPr="00C2724E">
        <w:t> AFP PORVENIR S.A.</w:t>
      </w:r>
      <w:r w:rsidRPr="00C2724E">
        <w:br/>
      </w:r>
      <w:r w:rsidRPr="00C2724E">
        <w:rPr>
          <w:b/>
          <w:bCs/>
        </w:rPr>
        <w:t>Demandados / Recurrentes:</w:t>
      </w:r>
      <w:r w:rsidRPr="00C2724E">
        <w:t> FRANCISCO JAVIER ARENAS FONSECA y CARLOS FERNANDO ARENAS FONSECA</w:t>
      </w:r>
      <w:r w:rsidRPr="00C2724E">
        <w:br/>
      </w:r>
      <w:r w:rsidRPr="00C2724E">
        <w:rPr>
          <w:b/>
          <w:bCs/>
        </w:rPr>
        <w:t>Asunto:</w:t>
      </w:r>
      <w:r w:rsidRPr="00C2724E">
        <w:t> Oposición a la demanda de casación</w:t>
      </w:r>
      <w:r w:rsidRPr="00C2724E">
        <w:br/>
      </w:r>
      <w:r w:rsidRPr="00C2724E">
        <w:rPr>
          <w:b/>
          <w:bCs/>
        </w:rPr>
        <w:t>Despacho:</w:t>
      </w:r>
      <w:r w:rsidRPr="00C2724E">
        <w:t> Corte Suprema de Justicia – Sala de Casación Laboral</w:t>
      </w:r>
    </w:p>
    <w:p w14:paraId="3E7D20C1" w14:textId="77777777" w:rsidR="00C2724E" w:rsidRPr="00C2724E" w:rsidRDefault="00C2724E" w:rsidP="00C2724E">
      <w:r w:rsidRPr="00C2724E">
        <w:rPr>
          <w:b/>
          <w:bCs/>
        </w:rPr>
        <w:t>Honorables Magistrados</w:t>
      </w:r>
      <w:r w:rsidRPr="00C2724E">
        <w:rPr>
          <w:b/>
          <w:bCs/>
        </w:rPr>
        <w:br/>
        <w:t>SALA DE CASACIÓN LABORAL</w:t>
      </w:r>
      <w:r w:rsidRPr="00C2724E">
        <w:rPr>
          <w:b/>
          <w:bCs/>
        </w:rPr>
        <w:br/>
        <w:t>CORTE SUPREMA DE JUSTICIA</w:t>
      </w:r>
      <w:r w:rsidRPr="00C2724E">
        <w:rPr>
          <w:b/>
          <w:bCs/>
        </w:rPr>
        <w:br/>
        <w:t>E. S. D.</w:t>
      </w:r>
    </w:p>
    <w:p w14:paraId="615E517F" w14:textId="77777777" w:rsidR="00C2724E" w:rsidRPr="00C2724E" w:rsidRDefault="00C2724E" w:rsidP="00C2724E">
      <w:r w:rsidRPr="00C2724E">
        <w:rPr>
          <w:b/>
          <w:bCs/>
        </w:rPr>
        <w:t>[Nombre del apoderado judicial]</w:t>
      </w:r>
      <w:r w:rsidRPr="00C2724E">
        <w:t>, mayor de edad, domiciliado en [ciudad], identificado como aparece al pie de mi firma, obrando en calidad de apoderado judicial de </w:t>
      </w:r>
      <w:r w:rsidRPr="00C2724E">
        <w:rPr>
          <w:b/>
          <w:bCs/>
        </w:rPr>
        <w:t>AFP PORVENIR S.A.</w:t>
      </w:r>
      <w:r w:rsidRPr="00C2724E">
        <w:t>, parte opositora dentro del proceso de la referencia, de manera respetuosa me permito presentar </w:t>
      </w:r>
      <w:r w:rsidRPr="00C2724E">
        <w:rPr>
          <w:b/>
          <w:bCs/>
        </w:rPr>
        <w:t>oposición a la demanda de casación</w:t>
      </w:r>
      <w:r w:rsidRPr="00C2724E">
        <w:t> formulada por la parte demandada contra la sentencia proferida por la Sala Laboral del Tribunal Superior del Distrito Judicial de Tunja, y solicitar que la misma </w:t>
      </w:r>
      <w:r w:rsidRPr="00C2724E">
        <w:rPr>
          <w:b/>
          <w:bCs/>
        </w:rPr>
        <w:t>no sea casada</w:t>
      </w:r>
      <w:r w:rsidRPr="00C2724E">
        <w:t>, por las razones que pasan a exponerse.</w:t>
      </w:r>
    </w:p>
    <w:p w14:paraId="7A696D9E" w14:textId="77777777" w:rsidR="00C2724E" w:rsidRPr="00C2724E" w:rsidRDefault="00C2724E" w:rsidP="00C2724E">
      <w:pPr>
        <w:rPr>
          <w:b/>
          <w:bCs/>
        </w:rPr>
      </w:pPr>
      <w:r w:rsidRPr="00C2724E">
        <w:rPr>
          <w:b/>
          <w:bCs/>
        </w:rPr>
        <w:t>I. ALCANCE DEL PRESENTE PRONUNCIAMIENTO</w:t>
      </w:r>
    </w:p>
    <w:p w14:paraId="399F4999" w14:textId="77777777" w:rsidR="00C2724E" w:rsidRPr="00C2724E" w:rsidRDefault="00C2724E" w:rsidP="00C2724E">
      <w:r w:rsidRPr="00C2724E">
        <w:t>Esta réplica recae sobre el </w:t>
      </w:r>
      <w:r w:rsidRPr="00C2724E">
        <w:rPr>
          <w:b/>
          <w:bCs/>
        </w:rPr>
        <w:t>cargo único formulado por la vía directa</w:t>
      </w:r>
      <w:r w:rsidRPr="00C2724E">
        <w:t>, en el cual los recurrentes acusan la sentencia de segundo grado por violación directa de la ley sustancial, concretamente por la supuesta falta de aplicación del artículo 151 del Código Procesal del Trabajo y de la Seguridad Social, en cuanto —afirman— el Tribunal debió declarar prescritas las sumas causadas con más de tres años de anterioridad a la presentación de la demanda.</w:t>
      </w:r>
    </w:p>
    <w:p w14:paraId="2ED74E85" w14:textId="77777777" w:rsidR="00C2724E" w:rsidRPr="00C2724E" w:rsidRDefault="00C2724E" w:rsidP="00C2724E">
      <w:r w:rsidRPr="00C2724E">
        <w:t>La oposición de esta parte se dirige a demostrar que el cargo </w:t>
      </w:r>
      <w:r w:rsidRPr="00C2724E">
        <w:rPr>
          <w:b/>
          <w:bCs/>
        </w:rPr>
        <w:t>no está llamado a prosperar</w:t>
      </w:r>
      <w:r w:rsidRPr="00C2724E">
        <w:t>, tanto por sus deficiencias de técnica extraordinaria como porque, en cualquier caso, el yerro que se atribuye al Tribunal carece de trascendencia casacional para quebrar la sentencia.</w:t>
      </w:r>
    </w:p>
    <w:p w14:paraId="14EC194A" w14:textId="77777777" w:rsidR="00C2724E" w:rsidRPr="00C2724E" w:rsidRDefault="00C2724E" w:rsidP="00C2724E">
      <w:r w:rsidRPr="00C2724E">
        <w:pict w14:anchorId="7B0BEE41">
          <v:rect id="_x0000_i1061" style="width:0;height:3pt" o:hralign="center" o:hrstd="t" o:hr="t" fillcolor="#a0a0a0" stroked="f"/>
        </w:pict>
      </w:r>
    </w:p>
    <w:p w14:paraId="4092DE9C" w14:textId="77777777" w:rsidR="00C2724E" w:rsidRPr="00C2724E" w:rsidRDefault="00C2724E" w:rsidP="00C2724E">
      <w:pPr>
        <w:rPr>
          <w:b/>
          <w:bCs/>
        </w:rPr>
      </w:pPr>
      <w:r w:rsidRPr="00C2724E">
        <w:rPr>
          <w:b/>
          <w:bCs/>
        </w:rPr>
        <w:t>II. EL CARGO NO PUEDE PROSPERAR: LA VÍA DIRECTA IMPONE A LOS RECURRENTES ACEPTAR ÍNTEGRAMENTE LOS SUPUESTOS FÁCTICOS FIJADOS POR EL TRIBUNAL</w:t>
      </w:r>
    </w:p>
    <w:p w14:paraId="5D72DF63" w14:textId="77777777" w:rsidR="00C2724E" w:rsidRPr="00C2724E" w:rsidRDefault="00C2724E" w:rsidP="00C2724E">
      <w:r w:rsidRPr="00C2724E">
        <w:t>La acusación fue planteada por la </w:t>
      </w:r>
      <w:r w:rsidRPr="00C2724E">
        <w:rPr>
          <w:b/>
          <w:bCs/>
        </w:rPr>
        <w:t>vía directa</w:t>
      </w:r>
      <w:r w:rsidRPr="00C2724E">
        <w:t>, lo cual tiene consecuencias técnicas insoslayables en sede de casación. Conforme a la doctrina reiterada de la Sala de Casación Laboral, quien acude por esta senda </w:t>
      </w:r>
      <w:r w:rsidRPr="00C2724E">
        <w:rPr>
          <w:b/>
          <w:bCs/>
        </w:rPr>
        <w:t>acepta sin reparo alguno los supuestos fácticos, la valoración probatoria y las inferencias de hecho</w:t>
      </w:r>
      <w:r w:rsidRPr="00C2724E">
        <w:t> asentadas por el fallador de segundo grado, limitando la controversia a un problema estrictamente jurídico.</w:t>
      </w:r>
    </w:p>
    <w:p w14:paraId="1AF0B534" w14:textId="77777777" w:rsidR="00C2724E" w:rsidRPr="00C2724E" w:rsidRDefault="00C2724E" w:rsidP="00C2724E">
      <w:r w:rsidRPr="00C2724E">
        <w:t>En ese orden, los recurrentes aceptan, a ciegas y sin posibilidad de replanteamiento en esta sede, entre otras conclusiones medulares del fallo impugnado:</w:t>
      </w:r>
    </w:p>
    <w:p w14:paraId="1F64565F" w14:textId="77777777" w:rsidR="00C2724E" w:rsidRPr="00C2724E" w:rsidRDefault="00C2724E" w:rsidP="00C2724E">
      <w:pPr>
        <w:numPr>
          <w:ilvl w:val="0"/>
          <w:numId w:val="1"/>
        </w:numPr>
      </w:pPr>
      <w:r w:rsidRPr="00C2724E">
        <w:rPr>
          <w:b/>
          <w:bCs/>
        </w:rPr>
        <w:t>Que la afiliación del causante al Régimen de Ahorro Individual con Solidaridad era inválida</w:t>
      </w:r>
      <w:r w:rsidRPr="00C2724E">
        <w:t>, por encontrarse legalmente excluido de migrar al RAIS dada su situación pensional consolidada por edad y tiempo cotizado.</w:t>
      </w:r>
    </w:p>
    <w:p w14:paraId="6752431D" w14:textId="77777777" w:rsidR="00C2724E" w:rsidRPr="00C2724E" w:rsidRDefault="00C2724E" w:rsidP="00C2724E">
      <w:pPr>
        <w:numPr>
          <w:ilvl w:val="0"/>
          <w:numId w:val="1"/>
        </w:numPr>
      </w:pPr>
      <w:r w:rsidRPr="00C2724E">
        <w:rPr>
          <w:b/>
          <w:bCs/>
        </w:rPr>
        <w:lastRenderedPageBreak/>
        <w:t>Que los demandados recibieron sumas a las que no tenían derecho</w:t>
      </w:r>
      <w:r w:rsidRPr="00C2724E">
        <w:t> por parte de Porvenir.</w:t>
      </w:r>
    </w:p>
    <w:p w14:paraId="59E5B01C" w14:textId="77777777" w:rsidR="00C2724E" w:rsidRPr="00C2724E" w:rsidRDefault="00C2724E" w:rsidP="00C2724E">
      <w:pPr>
        <w:numPr>
          <w:ilvl w:val="0"/>
          <w:numId w:val="1"/>
        </w:numPr>
      </w:pPr>
      <w:r w:rsidRPr="00C2724E">
        <w:rPr>
          <w:b/>
          <w:bCs/>
        </w:rPr>
        <w:t>Que existió un doble beneficio pensional concurrente sobre la misma prestación de sobrevivientes</w:t>
      </w:r>
      <w:r w:rsidRPr="00C2724E">
        <w:t>, simultáneamente reconocido y pagado también por el ISS, hoy Colpensiones.</w:t>
      </w:r>
    </w:p>
    <w:p w14:paraId="5BA216AF" w14:textId="77777777" w:rsidR="00C2724E" w:rsidRPr="00C2724E" w:rsidRDefault="00C2724E" w:rsidP="00C2724E">
      <w:pPr>
        <w:numPr>
          <w:ilvl w:val="0"/>
          <w:numId w:val="1"/>
        </w:numPr>
      </w:pPr>
      <w:r w:rsidRPr="00C2724E">
        <w:rPr>
          <w:b/>
          <w:bCs/>
        </w:rPr>
        <w:t>Que la condena restitutoria tiene origen en el pago de lo no debido</w:t>
      </w:r>
      <w:r w:rsidRPr="00C2724E">
        <w:t>, acogido por el Tribunal como fundamento jurídico de la obligación de reintegro.</w:t>
      </w:r>
    </w:p>
    <w:p w14:paraId="744D22B8" w14:textId="77777777" w:rsidR="00C2724E" w:rsidRPr="00C2724E" w:rsidRDefault="00C2724E" w:rsidP="00C2724E">
      <w:r w:rsidRPr="00C2724E">
        <w:t>Es decir, el cargo no discute el núcleo material del litigio: </w:t>
      </w:r>
      <w:r w:rsidRPr="00C2724E">
        <w:rPr>
          <w:b/>
          <w:bCs/>
        </w:rPr>
        <w:t>la ilicitud constitucional y legal del doble disfrute pensional y la invalidez de la afiliación que sirvió de soporte a los pagos efectuados por Porvenir</w:t>
      </w:r>
      <w:r w:rsidRPr="00C2724E">
        <w:t>. De ahí que la censura pretenda, en realidad, obtener un beneficio económico derivado de una situación ya definida por el Tribunal como contraria al ordenamiento.</w:t>
      </w:r>
    </w:p>
    <w:p w14:paraId="4E39E34E" w14:textId="77777777" w:rsidR="00C2724E" w:rsidRPr="00C2724E" w:rsidRDefault="00C2724E" w:rsidP="00C2724E">
      <w:r w:rsidRPr="00C2724E">
        <w:t>Tal admisión fáctica resulta trascendental, porque sobre esa base debe analizarse la prescripción alegada: no se trata de un crédito laboral ordinario ni del cobro de simples acreencias periódicas nacidas válidamente, sino de la </w:t>
      </w:r>
      <w:r w:rsidRPr="00C2724E">
        <w:rPr>
          <w:b/>
          <w:bCs/>
        </w:rPr>
        <w:t>recuperación de recursos del sistema pensional pagados indebidamente con ocasión de una afiliación inválida y de un doble beneficio incompatible con la Constitución</w:t>
      </w:r>
      <w:r w:rsidRPr="00C2724E">
        <w:t>.</w:t>
      </w:r>
    </w:p>
    <w:p w14:paraId="1DD207EC" w14:textId="77777777" w:rsidR="00C2724E" w:rsidRPr="00C2724E" w:rsidRDefault="00C2724E" w:rsidP="00C2724E">
      <w:r w:rsidRPr="00C2724E">
        <w:pict w14:anchorId="13C02F06">
          <v:rect id="_x0000_i1062" style="width:0;height:3pt" o:hralign="center" o:hrstd="t" o:hr="t" fillcolor="#a0a0a0" stroked="f"/>
        </w:pict>
      </w:r>
    </w:p>
    <w:p w14:paraId="1D86A162" w14:textId="77777777" w:rsidR="00C2724E" w:rsidRPr="00C2724E" w:rsidRDefault="00C2724E" w:rsidP="00C2724E">
      <w:pPr>
        <w:rPr>
          <w:b/>
          <w:bCs/>
        </w:rPr>
      </w:pPr>
      <w:r w:rsidRPr="00C2724E">
        <w:rPr>
          <w:b/>
          <w:bCs/>
        </w:rPr>
        <w:t>III. LA RESTITUCIÓN DE RECURSOS DEL SISTEMA GENERAL DE PENSIONES, PAGADOS INDEBIDAMENTE, NO PUEDE EXAMINARSE CON LOS MISMOS CRITERIOS DE PRESCRIPCIÓN PROPIOS DE UN DERECHO INDIVIDUAL LABORAL ORDINARIO</w:t>
      </w:r>
    </w:p>
    <w:p w14:paraId="50E9EC5D" w14:textId="77777777" w:rsidR="00C2724E" w:rsidRPr="00C2724E" w:rsidRDefault="00C2724E" w:rsidP="00C2724E">
      <w:r w:rsidRPr="00C2724E">
        <w:t>El cargo yerra al equiparar, sin matices, la pretensión de reintegro promovida por Porvenir con una reclamación ordinaria derivada de mesadas pensionales válidamente causadas y exigibles a favor de un afiliado o beneficiario.</w:t>
      </w:r>
    </w:p>
    <w:p w14:paraId="391D9BBB" w14:textId="77777777" w:rsidR="00C2724E" w:rsidRPr="00C2724E" w:rsidRDefault="00C2724E" w:rsidP="00C2724E">
      <w:r w:rsidRPr="00C2724E">
        <w:t>No es eso lo que aquí acontece.</w:t>
      </w:r>
    </w:p>
    <w:p w14:paraId="3FEC16A5" w14:textId="77777777" w:rsidR="00C2724E" w:rsidRPr="00C2724E" w:rsidRDefault="00C2724E" w:rsidP="00C2724E">
      <w:pPr>
        <w:rPr>
          <w:b/>
          <w:bCs/>
        </w:rPr>
      </w:pPr>
      <w:r w:rsidRPr="00C2724E">
        <w:rPr>
          <w:b/>
          <w:bCs/>
        </w:rPr>
        <w:t>1. Los recursos de la seguridad social tienen protección constitucional reforzada</w:t>
      </w:r>
    </w:p>
    <w:p w14:paraId="5F2D9D3E" w14:textId="77777777" w:rsidR="00C2724E" w:rsidRPr="00C2724E" w:rsidRDefault="00C2724E" w:rsidP="00C2724E">
      <w:r w:rsidRPr="00C2724E">
        <w:t>El artículo 48 de la Constitución Política prescribe que la seguridad social es un servicio público de carácter obligatorio y, además, establece la </w:t>
      </w:r>
      <w:r w:rsidRPr="00C2724E">
        <w:rPr>
          <w:b/>
          <w:bCs/>
        </w:rPr>
        <w:t>destinación específica de sus recursos</w:t>
      </w:r>
      <w:r w:rsidRPr="00C2724E">
        <w:t>, cuya administración y utilización no puede desnaturalizarse por reconocimientos o pagos incompatibles con el orden constitucional.</w:t>
      </w:r>
    </w:p>
    <w:p w14:paraId="73F6438A" w14:textId="77777777" w:rsidR="00C2724E" w:rsidRPr="00C2724E" w:rsidRDefault="00C2724E" w:rsidP="00C2724E">
      <w:r w:rsidRPr="00C2724E">
        <w:t>Cuando lo que se pretende es la </w:t>
      </w:r>
      <w:r w:rsidRPr="00C2724E">
        <w:rPr>
          <w:b/>
          <w:bCs/>
        </w:rPr>
        <w:t>recuperación de dineros del Sistema General de Pensiones entregados sin causa jurídica legítima</w:t>
      </w:r>
      <w:r w:rsidRPr="00C2724E">
        <w:t>, en razón de una afiliación inválida y de un </w:t>
      </w:r>
      <w:r w:rsidRPr="00C2724E">
        <w:rPr>
          <w:b/>
          <w:bCs/>
        </w:rPr>
        <w:t>doble beneficio pensional proscrito</w:t>
      </w:r>
      <w:r w:rsidRPr="00C2724E">
        <w:t>, no puede hacerse una traslación mecánica del artículo 151 del CPTSS, concebido para controversias ordinarias sobre derechos laborales o de seguridad social de configuración individual.</w:t>
      </w:r>
    </w:p>
    <w:p w14:paraId="4989F42D" w14:textId="77777777" w:rsidR="00C2724E" w:rsidRPr="00C2724E" w:rsidRDefault="00C2724E" w:rsidP="00C2724E">
      <w:r w:rsidRPr="00C2724E">
        <w:t>Aquí no se debate el pago de una prestación legítimamente debida al afiliado o a sus beneficiarios, sino la necesidad de </w:t>
      </w:r>
      <w:r w:rsidRPr="00C2724E">
        <w:rPr>
          <w:b/>
          <w:bCs/>
        </w:rPr>
        <w:t>restablecer la integridad patrimonial del sistema</w:t>
      </w:r>
      <w:r w:rsidRPr="00C2724E">
        <w:t> frente a erogaciones indebidamente realizadas.</w:t>
      </w:r>
    </w:p>
    <w:p w14:paraId="4C6943AE" w14:textId="77777777" w:rsidR="00C2724E" w:rsidRPr="00C2724E" w:rsidRDefault="00C2724E" w:rsidP="00C2724E">
      <w:pPr>
        <w:rPr>
          <w:b/>
          <w:bCs/>
        </w:rPr>
      </w:pPr>
      <w:r w:rsidRPr="00C2724E">
        <w:rPr>
          <w:b/>
          <w:bCs/>
        </w:rPr>
        <w:lastRenderedPageBreak/>
        <w:t>2. Prima el interés general, la sostenibilidad financiera del sistema y la proscripción del enriquecimiento sin causa</w:t>
      </w:r>
    </w:p>
    <w:p w14:paraId="7D56422C" w14:textId="77777777" w:rsidR="00C2724E" w:rsidRPr="00C2724E" w:rsidRDefault="00C2724E" w:rsidP="00C2724E">
      <w:r w:rsidRPr="00C2724E">
        <w:t>La sentencia del Tribunal, según se desprende de la formulación misma del recurso, edificó la condena sobre el </w:t>
      </w:r>
      <w:r w:rsidRPr="00C2724E">
        <w:rPr>
          <w:b/>
          <w:bCs/>
        </w:rPr>
        <w:t>pago de lo no debido</w:t>
      </w:r>
      <w:r w:rsidRPr="00C2724E">
        <w:t>. Si ello es así —y así debe aceptarse por haber escogido los recurrentes la vía directa—, la restitución ordenada persigue impedir la consolidación de un </w:t>
      </w:r>
      <w:r w:rsidRPr="00C2724E">
        <w:rPr>
          <w:b/>
          <w:bCs/>
        </w:rPr>
        <w:t>enriquecimiento sin causa</w:t>
      </w:r>
      <w:r w:rsidRPr="00C2724E">
        <w:t> a expensas de recursos con destinación constitucional específica.</w:t>
      </w:r>
    </w:p>
    <w:p w14:paraId="71359BA0" w14:textId="77777777" w:rsidR="00C2724E" w:rsidRPr="00C2724E" w:rsidRDefault="00C2724E" w:rsidP="00C2724E">
      <w:r w:rsidRPr="00C2724E">
        <w:t>Permitir que, por el simple transcurso del tiempo, se consolide a favor de los recurrentes la retención definitiva de sumas provenientes de un doble reconocimiento incompatible con el sistema, significaría:</w:t>
      </w:r>
    </w:p>
    <w:p w14:paraId="30A03CE4" w14:textId="77777777" w:rsidR="00C2724E" w:rsidRPr="00C2724E" w:rsidRDefault="00C2724E" w:rsidP="00C2724E">
      <w:pPr>
        <w:numPr>
          <w:ilvl w:val="0"/>
          <w:numId w:val="2"/>
        </w:numPr>
      </w:pPr>
      <w:r w:rsidRPr="00C2724E">
        <w:t>convalidar una situación contraria al artículo 48 Superior;</w:t>
      </w:r>
    </w:p>
    <w:p w14:paraId="0E4CC2BC" w14:textId="77777777" w:rsidR="00C2724E" w:rsidRPr="00C2724E" w:rsidRDefault="00C2724E" w:rsidP="00C2724E">
      <w:pPr>
        <w:numPr>
          <w:ilvl w:val="0"/>
          <w:numId w:val="2"/>
        </w:numPr>
      </w:pPr>
      <w:r w:rsidRPr="00C2724E">
        <w:t>afectar la sostenibilidad financiera del régimen pensional;</w:t>
      </w:r>
    </w:p>
    <w:p w14:paraId="31D759D9" w14:textId="77777777" w:rsidR="00C2724E" w:rsidRPr="00C2724E" w:rsidRDefault="00C2724E" w:rsidP="00C2724E">
      <w:pPr>
        <w:numPr>
          <w:ilvl w:val="0"/>
          <w:numId w:val="2"/>
        </w:numPr>
      </w:pPr>
      <w:r w:rsidRPr="00C2724E">
        <w:t>sacrificar el interés general frente a una ventaja patrimonial particular carente de causa jurídica.</w:t>
      </w:r>
    </w:p>
    <w:p w14:paraId="2D9EB279" w14:textId="77777777" w:rsidR="00C2724E" w:rsidRPr="00C2724E" w:rsidRDefault="00C2724E" w:rsidP="00C2724E">
      <w:r w:rsidRPr="00C2724E">
        <w:t>Por ello, la lectura que proponen los recurrentes desconoce la especial naturaleza de los recursos involucrados y desfigura la ratio del debate. La prescripción trienal del artículo 151 del CPTSS </w:t>
      </w:r>
      <w:r w:rsidRPr="00C2724E">
        <w:rPr>
          <w:b/>
          <w:bCs/>
        </w:rPr>
        <w:t>no puede operar en idénticos términos</w:t>
      </w:r>
      <w:r w:rsidRPr="00C2724E">
        <w:t xml:space="preserve"> respecto de la acción encaminada a recuperar recursos pensionales pagados sin título válido, menos </w:t>
      </w:r>
      <w:proofErr w:type="spellStart"/>
      <w:r w:rsidRPr="00C2724E">
        <w:t>aún</w:t>
      </w:r>
      <w:proofErr w:type="spellEnd"/>
      <w:r w:rsidRPr="00C2724E">
        <w:t xml:space="preserve"> cuando media un doble beneficio inconstitucional.</w:t>
      </w:r>
    </w:p>
    <w:p w14:paraId="3C31A13A" w14:textId="77777777" w:rsidR="00C2724E" w:rsidRPr="00C2724E" w:rsidRDefault="00C2724E" w:rsidP="00C2724E">
      <w:pPr>
        <w:rPr>
          <w:b/>
          <w:bCs/>
        </w:rPr>
      </w:pPr>
      <w:r w:rsidRPr="00C2724E">
        <w:rPr>
          <w:b/>
          <w:bCs/>
        </w:rPr>
        <w:t>3. La tesis de los recurrentes parte de una premisa equivocada: que cada mesada era autónomamente exigible como obligación periódica ordinaria</w:t>
      </w:r>
    </w:p>
    <w:p w14:paraId="5702FCAB" w14:textId="77777777" w:rsidR="00C2724E" w:rsidRPr="00C2724E" w:rsidRDefault="00C2724E" w:rsidP="00C2724E">
      <w:r w:rsidRPr="00C2724E">
        <w:t>La censura supone que cada pago mensual realizado por Porvenir activó, por sí solo, un término prescriptivo independiente. Pero ese entendimiento pasa por alto que la procedencia misma de la restitución dependía de la </w:t>
      </w:r>
      <w:r w:rsidRPr="00C2724E">
        <w:rPr>
          <w:b/>
          <w:bCs/>
        </w:rPr>
        <w:t>definición de la invalidez de la afiliación</w:t>
      </w:r>
      <w:r w:rsidRPr="00C2724E">
        <w:t> y de la consolidación de certeza jurídica sobre la improcedencia del pago.</w:t>
      </w:r>
    </w:p>
    <w:p w14:paraId="28A41AB8" w14:textId="77777777" w:rsidR="00C2724E" w:rsidRPr="00C2724E" w:rsidRDefault="00C2724E" w:rsidP="00C2724E">
      <w:r w:rsidRPr="00C2724E">
        <w:t>Dicho de otra manera: no se trata de una obligación periódica ordinaria nacida con cada mesada, sino de la </w:t>
      </w:r>
      <w:r w:rsidRPr="00C2724E">
        <w:rPr>
          <w:b/>
          <w:bCs/>
        </w:rPr>
        <w:t>consecuencia restitutoria de una causa invalidante</w:t>
      </w:r>
      <w:r w:rsidRPr="00C2724E">
        <w:t> que requería ser definida para tornar exigible la devolución.</w:t>
      </w:r>
    </w:p>
    <w:p w14:paraId="3AA1BC37" w14:textId="77777777" w:rsidR="00C2724E" w:rsidRPr="00C2724E" w:rsidRDefault="00C2724E" w:rsidP="00C2724E">
      <w:r w:rsidRPr="00C2724E">
        <w:pict w14:anchorId="4ED8B2F3">
          <v:rect id="_x0000_i1063" style="width:0;height:3pt" o:hralign="center" o:hrstd="t" o:hr="t" fillcolor="#a0a0a0" stroked="f"/>
        </w:pict>
      </w:r>
    </w:p>
    <w:p w14:paraId="69BE6CBC" w14:textId="77777777" w:rsidR="00C2724E" w:rsidRPr="00C2724E" w:rsidRDefault="00C2724E" w:rsidP="00C2724E">
      <w:pPr>
        <w:rPr>
          <w:b/>
          <w:bCs/>
        </w:rPr>
      </w:pPr>
      <w:r w:rsidRPr="00C2724E">
        <w:rPr>
          <w:b/>
          <w:bCs/>
        </w:rPr>
        <w:t>IV. AUN SI LA CORTE EXAMINARA LA PRESCRIPCIÓN, EL CARGO SIGUE SIN VOCACIÓN DE ÉXITO, PORQUE EL TÉRMINO NO SE CUENTA DESDE CADA PAGO INDIVIDUAL, SINO DESDE CUANDO LA OBLIGACIÓN DE RESTITUIR SE HIZO EXIGIBLE</w:t>
      </w:r>
    </w:p>
    <w:p w14:paraId="495E5192" w14:textId="77777777" w:rsidR="00C2724E" w:rsidRPr="00C2724E" w:rsidRDefault="00C2724E" w:rsidP="00C2724E">
      <w:r w:rsidRPr="00C2724E">
        <w:t>De manera subsidiaria, y solo para el evento en que la Sala considere pertinente estudiar el tema propuesto por la censura, debe advertirse que el cargo tampoco prospera porque parte de un entendimiento equivocado del </w:t>
      </w:r>
      <w:proofErr w:type="spellStart"/>
      <w:r w:rsidRPr="00C2724E">
        <w:rPr>
          <w:b/>
          <w:bCs/>
        </w:rPr>
        <w:t>dies</w:t>
      </w:r>
      <w:proofErr w:type="spellEnd"/>
      <w:r w:rsidRPr="00C2724E">
        <w:rPr>
          <w:b/>
          <w:bCs/>
        </w:rPr>
        <w:t xml:space="preserve"> a quo</w:t>
      </w:r>
      <w:r w:rsidRPr="00C2724E">
        <w:t> de la prescripción.</w:t>
      </w:r>
    </w:p>
    <w:p w14:paraId="426C2FBF" w14:textId="77777777" w:rsidR="00C2724E" w:rsidRPr="00C2724E" w:rsidRDefault="00C2724E" w:rsidP="00C2724E">
      <w:pPr>
        <w:rPr>
          <w:b/>
          <w:bCs/>
        </w:rPr>
      </w:pPr>
      <w:r w:rsidRPr="00C2724E">
        <w:rPr>
          <w:b/>
          <w:bCs/>
        </w:rPr>
        <w:t>1. La prescripción extintiva corre desde que la obligación es exigible</w:t>
      </w:r>
    </w:p>
    <w:p w14:paraId="4B7086D5" w14:textId="77777777" w:rsidR="00C2724E" w:rsidRPr="00C2724E" w:rsidRDefault="00C2724E" w:rsidP="00C2724E">
      <w:r w:rsidRPr="00C2724E">
        <w:lastRenderedPageBreak/>
        <w:t>Aun en la hipótesis de aplicar el artículo 151 del CPTSS, el término trienal no empieza a correr automáticamente desde la fecha de cada desembolso, sino desde el momento en que la obligación cuyo cumplimiento se reclama </w:t>
      </w:r>
      <w:r w:rsidRPr="00C2724E">
        <w:rPr>
          <w:b/>
          <w:bCs/>
        </w:rPr>
        <w:t>se torna cierta y exigible</w:t>
      </w:r>
      <w:r w:rsidRPr="00C2724E">
        <w:t>.</w:t>
      </w:r>
    </w:p>
    <w:p w14:paraId="36F1680E" w14:textId="77777777" w:rsidR="00C2724E" w:rsidRPr="00C2724E" w:rsidRDefault="00C2724E" w:rsidP="00C2724E">
      <w:r w:rsidRPr="00C2724E">
        <w:t>En el presente asunto, la obligación de restituir no surgió simplemente con el pago aislado de cada mesada, sino cuando quedó definida, con certeza jurídica suficiente, la </w:t>
      </w:r>
      <w:r w:rsidRPr="00C2724E">
        <w:rPr>
          <w:b/>
          <w:bCs/>
        </w:rPr>
        <w:t>invalidez de la afiliación al RAIS</w:t>
      </w:r>
      <w:r w:rsidRPr="00C2724E">
        <w:t> y, por contera, la ausencia de causa para los pagos hechos por Porvenir.</w:t>
      </w:r>
    </w:p>
    <w:p w14:paraId="6631B048" w14:textId="77777777" w:rsidR="00C2724E" w:rsidRPr="00C2724E" w:rsidRDefault="00C2724E" w:rsidP="00C2724E">
      <w:pPr>
        <w:rPr>
          <w:b/>
          <w:bCs/>
        </w:rPr>
      </w:pPr>
      <w:r w:rsidRPr="00C2724E">
        <w:rPr>
          <w:b/>
          <w:bCs/>
        </w:rPr>
        <w:t>2. El hito temporal relevante es el 27 de agosto de 2019</w:t>
      </w:r>
    </w:p>
    <w:p w14:paraId="1B44BA23" w14:textId="77777777" w:rsidR="00C2724E" w:rsidRPr="00C2724E" w:rsidRDefault="00C2724E" w:rsidP="00C2724E">
      <w:r w:rsidRPr="00C2724E">
        <w:t>Según los hechos probados del proceso, esa certeza se materializó el </w:t>
      </w:r>
      <w:r w:rsidRPr="00C2724E">
        <w:rPr>
          <w:b/>
          <w:bCs/>
        </w:rPr>
        <w:t>27 de agosto de 2019</w:t>
      </w:r>
      <w:r w:rsidRPr="00C2724E">
        <w:t>, fecha en la cual </w:t>
      </w:r>
      <w:r w:rsidRPr="00C2724E">
        <w:rPr>
          <w:b/>
          <w:bCs/>
        </w:rPr>
        <w:t>Colpensiones y Porvenir suscribieron el “ACTA DEFINICIÓN VALIDEZ AFILIACIÓN EN CASOS DE DOBLES BENEFICIOS ENTRE REGÍMENES”</w:t>
      </w:r>
      <w:r w:rsidRPr="00C2724E">
        <w:t>.</w:t>
      </w:r>
    </w:p>
    <w:p w14:paraId="36A58D7C" w14:textId="77777777" w:rsidR="00C2724E" w:rsidRPr="00C2724E" w:rsidRDefault="00C2724E" w:rsidP="00C2724E">
      <w:r w:rsidRPr="00C2724E">
        <w:t>Ese acto constituye el punto de consolidación jurídica a partir del cual podía predicarse, con claridad, la invalidez de la afiliación y, por ende, la exigibilidad de la restitución de los valores pagados.</w:t>
      </w:r>
    </w:p>
    <w:p w14:paraId="08318D71" w14:textId="77777777" w:rsidR="00C2724E" w:rsidRPr="00C2724E" w:rsidRDefault="00C2724E" w:rsidP="00C2724E">
      <w:r w:rsidRPr="00C2724E">
        <w:t>Por consiguiente, si la demanda fue admitida el </w:t>
      </w:r>
      <w:r w:rsidRPr="00C2724E">
        <w:rPr>
          <w:b/>
          <w:bCs/>
        </w:rPr>
        <w:t>10 de marzo de 2022</w:t>
      </w:r>
      <w:r w:rsidRPr="00C2724E">
        <w:t>, es claro que la acción se promovió </w:t>
      </w:r>
      <w:r w:rsidRPr="00C2724E">
        <w:rPr>
          <w:b/>
          <w:bCs/>
        </w:rPr>
        <w:t>dentro del trienio legal</w:t>
      </w:r>
      <w:r w:rsidRPr="00C2724E">
        <w:t>, contado desde el referido hito del </w:t>
      </w:r>
      <w:r w:rsidRPr="00C2724E">
        <w:rPr>
          <w:b/>
          <w:bCs/>
        </w:rPr>
        <w:t>27 de agosto de 2019</w:t>
      </w:r>
      <w:r w:rsidRPr="00C2724E">
        <w:t> hasta el </w:t>
      </w:r>
      <w:r w:rsidRPr="00C2724E">
        <w:rPr>
          <w:b/>
          <w:bCs/>
        </w:rPr>
        <w:t>10 de marzo de 2022</w:t>
      </w:r>
      <w:r w:rsidRPr="00C2724E">
        <w:t>.</w:t>
      </w:r>
    </w:p>
    <w:p w14:paraId="700BCEC9" w14:textId="77777777" w:rsidR="00C2724E" w:rsidRPr="00C2724E" w:rsidRDefault="00C2724E" w:rsidP="00C2724E">
      <w:pPr>
        <w:rPr>
          <w:b/>
          <w:bCs/>
        </w:rPr>
      </w:pPr>
      <w:r w:rsidRPr="00C2724E">
        <w:rPr>
          <w:b/>
          <w:bCs/>
        </w:rPr>
        <w:t>3. El eventual error del Tribunal sería intrascendente</w:t>
      </w:r>
    </w:p>
    <w:p w14:paraId="1008F1B4" w14:textId="77777777" w:rsidR="00C2724E" w:rsidRPr="00C2724E" w:rsidRDefault="00C2724E" w:rsidP="00C2724E">
      <w:r w:rsidRPr="00C2724E">
        <w:t>Así, aun si se admitiera en gracia de discusión que el Tribunal debió hacer una referencia expresa al fenómeno prescriptivo, la omisión no tendría aptitud para quebrar la sentencia, porque </w:t>
      </w:r>
      <w:r w:rsidRPr="00C2724E">
        <w:rPr>
          <w:b/>
          <w:bCs/>
        </w:rPr>
        <w:t>ninguna de las sumas reclamadas estaba prescrita</w:t>
      </w:r>
      <w:r w:rsidRPr="00C2724E">
        <w:t> bajo el correcto entendimiento del momento de exigibilidad de la obligación.</w:t>
      </w:r>
    </w:p>
    <w:p w14:paraId="422D4375" w14:textId="77777777" w:rsidR="00C2724E" w:rsidRPr="00C2724E" w:rsidRDefault="00C2724E" w:rsidP="00C2724E">
      <w:r w:rsidRPr="00C2724E">
        <w:t>En sede extraordinaria no basta demostrar un error meramente teórico; se requiere que el desatino sea </w:t>
      </w:r>
      <w:r w:rsidRPr="00C2724E">
        <w:rPr>
          <w:b/>
          <w:bCs/>
        </w:rPr>
        <w:t>trascendente y decisivo</w:t>
      </w:r>
      <w:r w:rsidRPr="00C2724E">
        <w:t> para la parte resolutiva del fallo. Aquí ello no ocurre. A lo sumo, habría un reparo inocuo, incapaz de modificar el sentido de la decisión, pues la condena restitutoria igualmente se mantendría incólume.</w:t>
      </w:r>
    </w:p>
    <w:p w14:paraId="5D81BAC4" w14:textId="77777777" w:rsidR="00C2724E" w:rsidRPr="00C2724E" w:rsidRDefault="00C2724E" w:rsidP="00C2724E">
      <w:r w:rsidRPr="00C2724E">
        <w:pict w14:anchorId="6A55EFD6">
          <v:rect id="_x0000_i1064" style="width:0;height:3pt" o:hralign="center" o:hrstd="t" o:hr="t" fillcolor="#a0a0a0" stroked="f"/>
        </w:pict>
      </w:r>
    </w:p>
    <w:p w14:paraId="54E6D42F" w14:textId="77777777" w:rsidR="00C2724E" w:rsidRPr="00C2724E" w:rsidRDefault="00C2724E" w:rsidP="00C2724E">
      <w:pPr>
        <w:rPr>
          <w:b/>
          <w:bCs/>
        </w:rPr>
      </w:pPr>
      <w:r w:rsidRPr="00C2724E">
        <w:rPr>
          <w:b/>
          <w:bCs/>
        </w:rPr>
        <w:t>V. LA OMISIÓN DEL TRIBUNAL FRENTE A LA EXCEPCIÓN DE PRESCRIPCIÓN NO HABILITA, POR SÍ SOLA, EL QUIEBRE DEL FALLO EN LOS TÉRMINOS PROPUESTOS POR LA CENSURA</w:t>
      </w:r>
    </w:p>
    <w:p w14:paraId="3666E6E4" w14:textId="77777777" w:rsidR="00C2724E" w:rsidRPr="00C2724E" w:rsidRDefault="00C2724E" w:rsidP="00C2724E">
      <w:r w:rsidRPr="00C2724E">
        <w:t>Los recurrentes pretenden convertir la falta de pronunciamiento expreso sobre una excepción en una vía automática de casación parcial. Sin embargo, en el recurso extraordinario no basta señalar que un tema no fue abordado formalmente; es imprescindible demostrar:</w:t>
      </w:r>
    </w:p>
    <w:p w14:paraId="24B48E2C" w14:textId="77777777" w:rsidR="00C2724E" w:rsidRPr="00C2724E" w:rsidRDefault="00C2724E" w:rsidP="00C2724E">
      <w:pPr>
        <w:numPr>
          <w:ilvl w:val="0"/>
          <w:numId w:val="3"/>
        </w:numPr>
      </w:pPr>
      <w:r w:rsidRPr="00C2724E">
        <w:t>que la norma invocada era inequívocamente aplicable al caso en los términos propuestos;</w:t>
      </w:r>
    </w:p>
    <w:p w14:paraId="3DBF038E" w14:textId="77777777" w:rsidR="00C2724E" w:rsidRPr="00C2724E" w:rsidRDefault="00C2724E" w:rsidP="00C2724E">
      <w:pPr>
        <w:numPr>
          <w:ilvl w:val="0"/>
          <w:numId w:val="3"/>
        </w:numPr>
      </w:pPr>
      <w:r w:rsidRPr="00C2724E">
        <w:t>que su aplicación correcta imponía una decisión distinta; y</w:t>
      </w:r>
    </w:p>
    <w:p w14:paraId="63F822B2" w14:textId="77777777" w:rsidR="00C2724E" w:rsidRPr="00C2724E" w:rsidRDefault="00C2724E" w:rsidP="00C2724E">
      <w:pPr>
        <w:numPr>
          <w:ilvl w:val="0"/>
          <w:numId w:val="3"/>
        </w:numPr>
      </w:pPr>
      <w:r w:rsidRPr="00C2724E">
        <w:t>que el error fue determinante en la resolución final.</w:t>
      </w:r>
    </w:p>
    <w:p w14:paraId="4157E4C6" w14:textId="77777777" w:rsidR="00C2724E" w:rsidRPr="00C2724E" w:rsidRDefault="00C2724E" w:rsidP="00C2724E">
      <w:r w:rsidRPr="00C2724E">
        <w:t>Ninguna de esas cargas ha sido satisfecha.</w:t>
      </w:r>
    </w:p>
    <w:p w14:paraId="63F05F29" w14:textId="77777777" w:rsidR="00C2724E" w:rsidRPr="00C2724E" w:rsidRDefault="00C2724E" w:rsidP="00C2724E">
      <w:r w:rsidRPr="00C2724E">
        <w:lastRenderedPageBreak/>
        <w:t>La censura no logra derruir el fundamento axial de la sentencia: que los pagos efectuados por Porvenir obedecieron a una afiliación inválida y dieron lugar a la recuperación de dineros indebidamente percibidos por los demandados, dentro de un contexto de doble beneficio pensional constitucionalmente inadmisible.</w:t>
      </w:r>
    </w:p>
    <w:p w14:paraId="177FA2EE" w14:textId="77777777" w:rsidR="00C2724E" w:rsidRPr="00C2724E" w:rsidRDefault="00C2724E" w:rsidP="00C2724E">
      <w:r w:rsidRPr="00C2724E">
        <w:t>Y tampoco demuestra que, de aplicarse el artículo 151 del CPTSS, la condena debiera reducirse en los términos pretendidos, porque pasa por alto el momento real en que nació la exigibilidad de la obligación de restituir.</w:t>
      </w:r>
    </w:p>
    <w:p w14:paraId="169A41AE" w14:textId="77777777" w:rsidR="00C2724E" w:rsidRPr="00C2724E" w:rsidRDefault="00C2724E" w:rsidP="00C2724E">
      <w:r w:rsidRPr="00C2724E">
        <w:pict w14:anchorId="7DDEE398">
          <v:rect id="_x0000_i1065" style="width:0;height:3pt" o:hralign="center" o:hrstd="t" o:hr="t" fillcolor="#a0a0a0" stroked="f"/>
        </w:pict>
      </w:r>
    </w:p>
    <w:p w14:paraId="36D6730C" w14:textId="77777777" w:rsidR="00C2724E" w:rsidRPr="00C2724E" w:rsidRDefault="00C2724E" w:rsidP="00C2724E">
      <w:pPr>
        <w:rPr>
          <w:b/>
          <w:bCs/>
        </w:rPr>
      </w:pPr>
      <w:r w:rsidRPr="00C2724E">
        <w:rPr>
          <w:b/>
          <w:bCs/>
        </w:rPr>
        <w:t>VI. EL RECURSO EXTRAORDINARIO DESATIENDE LA ESPECIALIDAD DEL CASO Y PROPONE UNA SOLUCIÓN QUE LEGITIMARÍA LA RETENCIÓN DE RECURSOS INDEBIDOS DEL SISTEMA PENSIONAL</w:t>
      </w:r>
    </w:p>
    <w:p w14:paraId="5C086E19" w14:textId="77777777" w:rsidR="00C2724E" w:rsidRPr="00C2724E" w:rsidRDefault="00C2724E" w:rsidP="00C2724E">
      <w:r w:rsidRPr="00C2724E">
        <w:t>La tesis de la parte recurrente, de ser acogida, conduciría a una consecuencia materialmente inaceptable: que una persona que recibió pagos sin causa válida, derivados de una afiliación ineficaz y de un doble beneficio pensional, pudiera consolidar por prescripción la apropiación definitiva de esos recursos.</w:t>
      </w:r>
    </w:p>
    <w:p w14:paraId="4A748DA6" w14:textId="77777777" w:rsidR="00C2724E" w:rsidRPr="00C2724E" w:rsidRDefault="00C2724E" w:rsidP="00C2724E">
      <w:r w:rsidRPr="00C2724E">
        <w:t>Tal conclusión pugna con:</w:t>
      </w:r>
    </w:p>
    <w:p w14:paraId="746AE79A" w14:textId="77777777" w:rsidR="00C2724E" w:rsidRPr="00C2724E" w:rsidRDefault="00C2724E" w:rsidP="00C2724E">
      <w:pPr>
        <w:numPr>
          <w:ilvl w:val="0"/>
          <w:numId w:val="4"/>
        </w:numPr>
      </w:pPr>
      <w:r w:rsidRPr="00C2724E">
        <w:t>la </w:t>
      </w:r>
      <w:r w:rsidRPr="00C2724E">
        <w:rPr>
          <w:b/>
          <w:bCs/>
        </w:rPr>
        <w:t>destinación específica</w:t>
      </w:r>
      <w:r w:rsidRPr="00C2724E">
        <w:t> de los recursos de la seguridad social;</w:t>
      </w:r>
    </w:p>
    <w:p w14:paraId="4443F808" w14:textId="77777777" w:rsidR="00C2724E" w:rsidRPr="00C2724E" w:rsidRDefault="00C2724E" w:rsidP="00C2724E">
      <w:pPr>
        <w:numPr>
          <w:ilvl w:val="0"/>
          <w:numId w:val="4"/>
        </w:numPr>
      </w:pPr>
      <w:r w:rsidRPr="00C2724E">
        <w:t>la </w:t>
      </w:r>
      <w:r w:rsidRPr="00C2724E">
        <w:rPr>
          <w:b/>
          <w:bCs/>
        </w:rPr>
        <w:t>prevalencia del interés general</w:t>
      </w:r>
      <w:r w:rsidRPr="00C2724E">
        <w:t>;</w:t>
      </w:r>
    </w:p>
    <w:p w14:paraId="7E8F12C2" w14:textId="77777777" w:rsidR="00C2724E" w:rsidRPr="00C2724E" w:rsidRDefault="00C2724E" w:rsidP="00C2724E">
      <w:pPr>
        <w:numPr>
          <w:ilvl w:val="0"/>
          <w:numId w:val="4"/>
        </w:numPr>
      </w:pPr>
      <w:r w:rsidRPr="00C2724E">
        <w:t>la </w:t>
      </w:r>
      <w:r w:rsidRPr="00C2724E">
        <w:rPr>
          <w:b/>
          <w:bCs/>
        </w:rPr>
        <w:t>sostenibilidad financiera del sistema pensional</w:t>
      </w:r>
      <w:r w:rsidRPr="00C2724E">
        <w:t>;</w:t>
      </w:r>
    </w:p>
    <w:p w14:paraId="51CFA419" w14:textId="77777777" w:rsidR="00C2724E" w:rsidRPr="00C2724E" w:rsidRDefault="00C2724E" w:rsidP="00C2724E">
      <w:pPr>
        <w:numPr>
          <w:ilvl w:val="0"/>
          <w:numId w:val="4"/>
        </w:numPr>
      </w:pPr>
      <w:r w:rsidRPr="00C2724E">
        <w:t>y el principio universal que proscribe el </w:t>
      </w:r>
      <w:r w:rsidRPr="00C2724E">
        <w:rPr>
          <w:b/>
          <w:bCs/>
        </w:rPr>
        <w:t>enriquecimiento sin causa</w:t>
      </w:r>
      <w:r w:rsidRPr="00C2724E">
        <w:t>.</w:t>
      </w:r>
    </w:p>
    <w:p w14:paraId="25D7243B" w14:textId="77777777" w:rsidR="00C2724E" w:rsidRPr="00C2724E" w:rsidRDefault="00C2724E" w:rsidP="00C2724E">
      <w:r w:rsidRPr="00C2724E">
        <w:t>Por ello, la hermenéutica propuesta por la censura no solo es técnicamente insuficiente, sino sustancialmente incompatible con los valores y mandatos superiores que gobiernan la seguridad social.</w:t>
      </w:r>
    </w:p>
    <w:p w14:paraId="4995BA68" w14:textId="77777777" w:rsidR="00C2724E" w:rsidRPr="00C2724E" w:rsidRDefault="00C2724E" w:rsidP="00C2724E">
      <w:r w:rsidRPr="00C2724E">
        <w:pict w14:anchorId="6ACE2BE9">
          <v:rect id="_x0000_i1066" style="width:0;height:3pt" o:hralign="center" o:hrstd="t" o:hr="t" fillcolor="#a0a0a0" stroked="f"/>
        </w:pict>
      </w:r>
    </w:p>
    <w:p w14:paraId="101D12DB" w14:textId="77777777" w:rsidR="00C2724E" w:rsidRPr="00C2724E" w:rsidRDefault="00C2724E" w:rsidP="00C2724E">
      <w:pPr>
        <w:rPr>
          <w:b/>
          <w:bCs/>
        </w:rPr>
      </w:pPr>
      <w:r w:rsidRPr="00C2724E">
        <w:rPr>
          <w:b/>
          <w:bCs/>
        </w:rPr>
        <w:t>VII. SOLICITUD</w:t>
      </w:r>
    </w:p>
    <w:p w14:paraId="466924B0" w14:textId="77777777" w:rsidR="00C2724E" w:rsidRPr="00C2724E" w:rsidRDefault="00C2724E" w:rsidP="00C2724E">
      <w:r w:rsidRPr="00C2724E">
        <w:t>Por las razones expuestas, respetuosamente solicito a la </w:t>
      </w:r>
      <w:r w:rsidRPr="00C2724E">
        <w:rPr>
          <w:b/>
          <w:bCs/>
        </w:rPr>
        <w:t>Honorable Sala de Casación Laboral de la Corte Suprema de Justicia</w:t>
      </w:r>
      <w:r w:rsidRPr="00C2724E">
        <w:t>:</w:t>
      </w:r>
    </w:p>
    <w:p w14:paraId="4AB15891" w14:textId="77777777" w:rsidR="00C2724E" w:rsidRPr="00C2724E" w:rsidRDefault="00C2724E" w:rsidP="00C2724E">
      <w:pPr>
        <w:numPr>
          <w:ilvl w:val="0"/>
          <w:numId w:val="5"/>
        </w:numPr>
      </w:pPr>
      <w:r w:rsidRPr="00C2724E">
        <w:rPr>
          <w:b/>
          <w:bCs/>
        </w:rPr>
        <w:t>DESIMAR el cargo único</w:t>
      </w:r>
      <w:r w:rsidRPr="00C2724E">
        <w:t> formulado en la demanda de casación interpuesta por FRANCISCO JAVIER ARENAS FONSECA y CARLOS FERNANDO ARENAS FONSECA.</w:t>
      </w:r>
    </w:p>
    <w:p w14:paraId="109F8A58" w14:textId="77777777" w:rsidR="00C2724E" w:rsidRPr="00C2724E" w:rsidRDefault="00C2724E" w:rsidP="00C2724E">
      <w:pPr>
        <w:numPr>
          <w:ilvl w:val="0"/>
          <w:numId w:val="5"/>
        </w:numPr>
      </w:pPr>
      <w:r w:rsidRPr="00C2724E">
        <w:t>En consecuencia, </w:t>
      </w:r>
      <w:r w:rsidRPr="00C2724E">
        <w:rPr>
          <w:b/>
          <w:bCs/>
        </w:rPr>
        <w:t>NO CASAR</w:t>
      </w:r>
      <w:r w:rsidRPr="00C2724E">
        <w:t> la sentencia proferida por la Sala Laboral del Tribunal Superior del Distrito Judicial de Tunja.</w:t>
      </w:r>
    </w:p>
    <w:p w14:paraId="538B1960" w14:textId="77777777" w:rsidR="00C2724E" w:rsidRPr="00C2724E" w:rsidRDefault="00C2724E" w:rsidP="00C2724E">
      <w:pPr>
        <w:numPr>
          <w:ilvl w:val="0"/>
          <w:numId w:val="5"/>
        </w:numPr>
      </w:pPr>
      <w:r w:rsidRPr="00C2724E">
        <w:rPr>
          <w:b/>
          <w:bCs/>
        </w:rPr>
        <w:t>Condenar en costas del recurso extraordinario</w:t>
      </w:r>
      <w:r w:rsidRPr="00C2724E">
        <w:t> a la parte recurrente, conforme a derecho.</w:t>
      </w:r>
    </w:p>
    <w:p w14:paraId="1A5955B0" w14:textId="77777777" w:rsidR="00C2724E" w:rsidRPr="00C2724E" w:rsidRDefault="00C2724E" w:rsidP="00C2724E">
      <w:r w:rsidRPr="00C2724E">
        <w:t>Respetuosamente,</w:t>
      </w:r>
    </w:p>
    <w:p w14:paraId="7039044C" w14:textId="77777777" w:rsidR="00C2724E" w:rsidRPr="00C2724E" w:rsidRDefault="00C2724E" w:rsidP="00C2724E">
      <w:r w:rsidRPr="00C2724E">
        <w:rPr>
          <w:b/>
          <w:bCs/>
        </w:rPr>
        <w:lastRenderedPageBreak/>
        <w:t>[Nombre del apoderado]</w:t>
      </w:r>
      <w:r w:rsidRPr="00C2724E">
        <w:br/>
        <w:t>C.C. No. [●] de [●]</w:t>
      </w:r>
      <w:r w:rsidRPr="00C2724E">
        <w:br/>
        <w:t>T.P. No. [●] del C. S. de la J.</w:t>
      </w:r>
      <w:r w:rsidRPr="00C2724E">
        <w:br/>
        <w:t>Apoderado judicial de AFP PORVENIR S.A.</w:t>
      </w:r>
    </w:p>
    <w:p w14:paraId="19E15D6D" w14:textId="77777777" w:rsidR="00A7415F" w:rsidRDefault="00A7415F"/>
    <w:sectPr w:rsidR="00A7415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B5B80"/>
    <w:multiLevelType w:val="multilevel"/>
    <w:tmpl w:val="30E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22FC1"/>
    <w:multiLevelType w:val="multilevel"/>
    <w:tmpl w:val="8F06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3B6E76"/>
    <w:multiLevelType w:val="multilevel"/>
    <w:tmpl w:val="02969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E32111"/>
    <w:multiLevelType w:val="multilevel"/>
    <w:tmpl w:val="9864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73388"/>
    <w:multiLevelType w:val="multilevel"/>
    <w:tmpl w:val="45F6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810860">
    <w:abstractNumId w:val="4"/>
  </w:num>
  <w:num w:numId="2" w16cid:durableId="411124541">
    <w:abstractNumId w:val="0"/>
  </w:num>
  <w:num w:numId="3" w16cid:durableId="454837526">
    <w:abstractNumId w:val="3"/>
  </w:num>
  <w:num w:numId="4" w16cid:durableId="61681143">
    <w:abstractNumId w:val="1"/>
  </w:num>
  <w:num w:numId="5" w16cid:durableId="20139871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4E"/>
    <w:rsid w:val="000A6B83"/>
    <w:rsid w:val="00265CAE"/>
    <w:rsid w:val="005F7146"/>
    <w:rsid w:val="00A7415F"/>
    <w:rsid w:val="00AE302C"/>
    <w:rsid w:val="00B168FF"/>
    <w:rsid w:val="00C2724E"/>
    <w:rsid w:val="00CD6C59"/>
    <w:rsid w:val="00DE58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1E91"/>
  <w15:chartTrackingRefBased/>
  <w15:docId w15:val="{E7B1CC09-625F-4E9D-8EFC-4750C84CA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24E"/>
    <w:rPr>
      <w:rFonts w:eastAsiaTheme="majorEastAsia" w:cstheme="majorBidi"/>
      <w:color w:val="272727" w:themeColor="text1" w:themeTint="D8"/>
    </w:rPr>
  </w:style>
  <w:style w:type="paragraph" w:styleId="Title">
    <w:name w:val="Title"/>
    <w:basedOn w:val="Normal"/>
    <w:next w:val="Normal"/>
    <w:link w:val="TitleChar"/>
    <w:uiPriority w:val="10"/>
    <w:qFormat/>
    <w:rsid w:val="00C27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24E"/>
    <w:pPr>
      <w:spacing w:before="160"/>
      <w:jc w:val="center"/>
    </w:pPr>
    <w:rPr>
      <w:i/>
      <w:iCs/>
      <w:color w:val="404040" w:themeColor="text1" w:themeTint="BF"/>
    </w:rPr>
  </w:style>
  <w:style w:type="character" w:customStyle="1" w:styleId="QuoteChar">
    <w:name w:val="Quote Char"/>
    <w:basedOn w:val="DefaultParagraphFont"/>
    <w:link w:val="Quote"/>
    <w:uiPriority w:val="29"/>
    <w:rsid w:val="00C2724E"/>
    <w:rPr>
      <w:i/>
      <w:iCs/>
      <w:color w:val="404040" w:themeColor="text1" w:themeTint="BF"/>
    </w:rPr>
  </w:style>
  <w:style w:type="paragraph" w:styleId="ListParagraph">
    <w:name w:val="List Paragraph"/>
    <w:basedOn w:val="Normal"/>
    <w:uiPriority w:val="34"/>
    <w:qFormat/>
    <w:rsid w:val="00C2724E"/>
    <w:pPr>
      <w:ind w:left="720"/>
      <w:contextualSpacing/>
    </w:pPr>
  </w:style>
  <w:style w:type="character" w:styleId="IntenseEmphasis">
    <w:name w:val="Intense Emphasis"/>
    <w:basedOn w:val="DefaultParagraphFont"/>
    <w:uiPriority w:val="21"/>
    <w:qFormat/>
    <w:rsid w:val="00C2724E"/>
    <w:rPr>
      <w:i/>
      <w:iCs/>
      <w:color w:val="0F4761" w:themeColor="accent1" w:themeShade="BF"/>
    </w:rPr>
  </w:style>
  <w:style w:type="paragraph" w:styleId="IntenseQuote">
    <w:name w:val="Intense Quote"/>
    <w:basedOn w:val="Normal"/>
    <w:next w:val="Normal"/>
    <w:link w:val="IntenseQuoteChar"/>
    <w:uiPriority w:val="30"/>
    <w:qFormat/>
    <w:rsid w:val="00C27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24E"/>
    <w:rPr>
      <w:i/>
      <w:iCs/>
      <w:color w:val="0F4761" w:themeColor="accent1" w:themeShade="BF"/>
    </w:rPr>
  </w:style>
  <w:style w:type="character" w:styleId="IntenseReference">
    <w:name w:val="Intense Reference"/>
    <w:basedOn w:val="DefaultParagraphFont"/>
    <w:uiPriority w:val="32"/>
    <w:qFormat/>
    <w:rsid w:val="00C27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8778">
      <w:bodyDiv w:val="1"/>
      <w:marLeft w:val="0"/>
      <w:marRight w:val="0"/>
      <w:marTop w:val="0"/>
      <w:marBottom w:val="0"/>
      <w:divBdr>
        <w:top w:val="none" w:sz="0" w:space="0" w:color="auto"/>
        <w:left w:val="none" w:sz="0" w:space="0" w:color="auto"/>
        <w:bottom w:val="none" w:sz="0" w:space="0" w:color="auto"/>
        <w:right w:val="none" w:sz="0" w:space="0" w:color="auto"/>
      </w:divBdr>
    </w:div>
    <w:div w:id="1693342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1916</Words>
  <Characters>10540</Characters>
  <Application>Microsoft Office Word</Application>
  <DocSecurity>0</DocSecurity>
  <Lines>87</Lines>
  <Paragraphs>24</Paragraphs>
  <ScaleCrop>false</ScaleCrop>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CarfherPC</dc:creator>
  <cp:keywords/>
  <dc:description/>
  <cp:lastModifiedBy>CarfherPC</cp:lastModifiedBy>
  <cp:revision>1</cp:revision>
  <dcterms:created xsi:type="dcterms:W3CDTF">2026-04-03T00:02:00Z</dcterms:created>
  <dcterms:modified xsi:type="dcterms:W3CDTF">2026-04-03T00:03:00Z</dcterms:modified>
</cp:coreProperties>
</file>