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66DA0" w14:textId="36E05A74"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Honorables Magistrados</w:t>
      </w:r>
    </w:p>
    <w:p w14:paraId="71086851" w14:textId="77777777"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CORTE SUPREMA DE JUSTICIA</w:t>
      </w:r>
    </w:p>
    <w:p w14:paraId="6A96D96B" w14:textId="77777777" w:rsid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SALA DE CASACIÓN LABORAL</w:t>
      </w:r>
    </w:p>
    <w:p w14:paraId="67BA01FF" w14:textId="65EB7617" w:rsidR="002557D0" w:rsidRPr="00DF6C29" w:rsidRDefault="00DF6C29" w:rsidP="00DF6C29">
      <w:pPr>
        <w:spacing w:after="0" w:line="240" w:lineRule="auto"/>
        <w:jc w:val="both"/>
        <w:rPr>
          <w:rFonts w:ascii="Arial" w:hAnsi="Arial" w:cs="Arial"/>
          <w:b/>
          <w:bCs/>
          <w:sz w:val="24"/>
          <w:szCs w:val="24"/>
        </w:rPr>
      </w:pPr>
      <w:r>
        <w:rPr>
          <w:rFonts w:ascii="Arial" w:hAnsi="Arial" w:cs="Arial"/>
          <w:b/>
          <w:bCs/>
          <w:sz w:val="24"/>
          <w:szCs w:val="24"/>
        </w:rPr>
        <w:t xml:space="preserve">M.P </w:t>
      </w:r>
      <w:proofErr w:type="spellStart"/>
      <w:r>
        <w:rPr>
          <w:rFonts w:ascii="Arial" w:hAnsi="Arial" w:cs="Arial"/>
          <w:b/>
          <w:bCs/>
          <w:sz w:val="24"/>
          <w:szCs w:val="24"/>
        </w:rPr>
        <w:t>Dra</w:t>
      </w:r>
      <w:proofErr w:type="spellEnd"/>
      <w:r>
        <w:rPr>
          <w:rFonts w:ascii="Arial" w:hAnsi="Arial" w:cs="Arial"/>
          <w:b/>
          <w:bCs/>
          <w:sz w:val="24"/>
          <w:szCs w:val="24"/>
        </w:rPr>
        <w:t xml:space="preserve"> </w:t>
      </w:r>
      <w:r w:rsidR="002557D0">
        <w:rPr>
          <w:rFonts w:ascii="Arial" w:hAnsi="Arial" w:cs="Arial"/>
          <w:b/>
          <w:bCs/>
          <w:sz w:val="24"/>
          <w:szCs w:val="24"/>
        </w:rPr>
        <w:t xml:space="preserve">CLARA INES LOPEZ DAVILA </w:t>
      </w:r>
    </w:p>
    <w:p w14:paraId="381FD096" w14:textId="77777777"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E. S. D.</w:t>
      </w:r>
    </w:p>
    <w:p w14:paraId="3791E7DB" w14:textId="77777777" w:rsidR="00DF6C29" w:rsidRPr="00DF6C29" w:rsidRDefault="00DF6C29" w:rsidP="00DF6C29">
      <w:pPr>
        <w:spacing w:after="0" w:line="240" w:lineRule="auto"/>
        <w:jc w:val="both"/>
        <w:rPr>
          <w:rFonts w:ascii="Arial" w:hAnsi="Arial" w:cs="Arial"/>
          <w:sz w:val="24"/>
          <w:szCs w:val="24"/>
        </w:rPr>
      </w:pPr>
    </w:p>
    <w:p w14:paraId="73787C78" w14:textId="78AE51E8"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sz w:val="24"/>
          <w:szCs w:val="24"/>
        </w:rPr>
        <w:t xml:space="preserve">Referencia: </w:t>
      </w:r>
      <w:r>
        <w:rPr>
          <w:rFonts w:ascii="Arial" w:hAnsi="Arial" w:cs="Arial"/>
          <w:sz w:val="24"/>
          <w:szCs w:val="24"/>
        </w:rPr>
        <w:tab/>
      </w:r>
      <w:r>
        <w:rPr>
          <w:rFonts w:ascii="Arial" w:hAnsi="Arial" w:cs="Arial"/>
          <w:sz w:val="24"/>
          <w:szCs w:val="24"/>
        </w:rPr>
        <w:tab/>
      </w:r>
      <w:r w:rsidRPr="00DF6C29">
        <w:rPr>
          <w:rFonts w:ascii="Arial" w:hAnsi="Arial" w:cs="Arial"/>
          <w:b/>
          <w:bCs/>
          <w:sz w:val="24"/>
          <w:szCs w:val="24"/>
        </w:rPr>
        <w:t>DEMANDA DE CASACIÓN</w:t>
      </w:r>
    </w:p>
    <w:p w14:paraId="15F57583" w14:textId="52892711"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sz w:val="24"/>
          <w:szCs w:val="24"/>
        </w:rPr>
        <w:t xml:space="preserve">Demandante: </w:t>
      </w:r>
      <w:r>
        <w:rPr>
          <w:rFonts w:ascii="Arial" w:hAnsi="Arial" w:cs="Arial"/>
          <w:sz w:val="24"/>
          <w:szCs w:val="24"/>
        </w:rPr>
        <w:tab/>
      </w:r>
      <w:r w:rsidRPr="00DF6C29">
        <w:rPr>
          <w:rFonts w:ascii="Arial" w:hAnsi="Arial" w:cs="Arial"/>
          <w:b/>
          <w:bCs/>
          <w:sz w:val="24"/>
          <w:szCs w:val="24"/>
        </w:rPr>
        <w:t>AFP PORVENIR S.A.</w:t>
      </w:r>
    </w:p>
    <w:p w14:paraId="04A9EC2C" w14:textId="72ACA5B1"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Demandados: </w:t>
      </w:r>
      <w:r>
        <w:rPr>
          <w:rFonts w:ascii="Arial" w:hAnsi="Arial" w:cs="Arial"/>
          <w:sz w:val="24"/>
          <w:szCs w:val="24"/>
        </w:rPr>
        <w:tab/>
      </w:r>
      <w:r w:rsidRPr="00DF6C29">
        <w:rPr>
          <w:rFonts w:ascii="Arial" w:hAnsi="Arial" w:cs="Arial"/>
          <w:sz w:val="24"/>
          <w:szCs w:val="24"/>
        </w:rPr>
        <w:t>FRANCISCO JAVIER ARENAS FONSECA, CARLOS FERNANDO ARENAS FONSECA, herederos determinados de ANA LUCILA FONSECA DE ARENAS y herederos indeterminados de esta</w:t>
      </w:r>
    </w:p>
    <w:p w14:paraId="05D615B3" w14:textId="77777777" w:rsidR="00DF6C29" w:rsidRPr="00DF6C29" w:rsidRDefault="00DF6C29" w:rsidP="00DF6C29">
      <w:pPr>
        <w:spacing w:after="0" w:line="240" w:lineRule="auto"/>
        <w:jc w:val="both"/>
        <w:rPr>
          <w:rFonts w:ascii="Arial" w:hAnsi="Arial" w:cs="Arial"/>
          <w:sz w:val="24"/>
          <w:szCs w:val="24"/>
        </w:rPr>
      </w:pPr>
    </w:p>
    <w:p w14:paraId="010B32F9"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b/>
          <w:bCs/>
          <w:sz w:val="24"/>
          <w:szCs w:val="24"/>
        </w:rPr>
        <w:t>CARLOS HAROLDO BERMÚDEZ MARTÍNEZ</w:t>
      </w:r>
      <w:r w:rsidRPr="00DF6C29">
        <w:rPr>
          <w:rFonts w:ascii="Arial" w:hAnsi="Arial" w:cs="Arial"/>
          <w:sz w:val="24"/>
          <w:szCs w:val="24"/>
        </w:rPr>
        <w:t xml:space="preserve">, mayor de edad, vecino de Tunja, abogado en ejercicio, identificado con la cédula de ciudadanía No. 7.164.979 y portador de la Tarjeta Profesional No. 269.131 del Consejo Superior de la Judicatura, actuando en calidad de apoderado judicial de la parte demandada dentro del proceso de la referencia, conforme al poder obrante en el expediente, encontrándome en oportunidad legal, me permito presentar </w:t>
      </w:r>
      <w:r w:rsidRPr="00DF6C29">
        <w:rPr>
          <w:rFonts w:ascii="Arial" w:hAnsi="Arial" w:cs="Arial"/>
          <w:b/>
          <w:bCs/>
          <w:sz w:val="24"/>
          <w:szCs w:val="24"/>
        </w:rPr>
        <w:t>DEMANDA DE CASACIÓN</w:t>
      </w:r>
      <w:r w:rsidRPr="00DF6C29">
        <w:rPr>
          <w:rFonts w:ascii="Arial" w:hAnsi="Arial" w:cs="Arial"/>
          <w:sz w:val="24"/>
          <w:szCs w:val="24"/>
        </w:rPr>
        <w:t xml:space="preserve"> contra la sentencia proferida por la Sala Laboral del Tribunal Superior del Distrito Judicial de Tunja el treinta y uno (31) de octubre de dos mil veinticinco (2025), dentro del proceso de la referencia, en los siguientes términos.</w:t>
      </w:r>
    </w:p>
    <w:p w14:paraId="25AF1DC0" w14:textId="77777777" w:rsidR="00DF6C29" w:rsidRPr="00DF6C29" w:rsidRDefault="00DF6C29" w:rsidP="00DF6C29">
      <w:pPr>
        <w:spacing w:after="0" w:line="240" w:lineRule="auto"/>
        <w:jc w:val="both"/>
        <w:rPr>
          <w:rFonts w:ascii="Arial" w:hAnsi="Arial" w:cs="Arial"/>
          <w:sz w:val="24"/>
          <w:szCs w:val="24"/>
        </w:rPr>
      </w:pPr>
    </w:p>
    <w:p w14:paraId="4A15176E" w14:textId="77777777"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I. DESIGNACIÓN DE LAS PARTES Y DE LA SENTENCIA IMPUGNADA</w:t>
      </w:r>
    </w:p>
    <w:p w14:paraId="2630C3A5" w14:textId="77777777" w:rsidR="00DF6C29" w:rsidRPr="00DF6C29" w:rsidRDefault="00DF6C29" w:rsidP="00DF6C29">
      <w:pPr>
        <w:spacing w:after="0" w:line="240" w:lineRule="auto"/>
        <w:jc w:val="both"/>
        <w:rPr>
          <w:rFonts w:ascii="Arial" w:hAnsi="Arial" w:cs="Arial"/>
          <w:sz w:val="24"/>
          <w:szCs w:val="24"/>
        </w:rPr>
      </w:pPr>
    </w:p>
    <w:p w14:paraId="37CE69A8" w14:textId="15F19F2C"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1.1</w:t>
      </w:r>
      <w:r>
        <w:rPr>
          <w:rFonts w:ascii="Arial" w:hAnsi="Arial" w:cs="Arial"/>
          <w:b/>
          <w:bCs/>
          <w:sz w:val="24"/>
          <w:szCs w:val="24"/>
        </w:rPr>
        <w:t xml:space="preserve"> </w:t>
      </w:r>
      <w:r w:rsidRPr="00DF6C29">
        <w:rPr>
          <w:rFonts w:ascii="Arial" w:hAnsi="Arial" w:cs="Arial"/>
          <w:b/>
          <w:bCs/>
          <w:sz w:val="24"/>
          <w:szCs w:val="24"/>
        </w:rPr>
        <w:t>DESIGNACIÓN DE LAS PARTES</w:t>
      </w:r>
    </w:p>
    <w:p w14:paraId="04B82E46" w14:textId="77777777" w:rsidR="00DF6C29" w:rsidRPr="00DF6C29" w:rsidRDefault="00DF6C29" w:rsidP="00DF6C29">
      <w:pPr>
        <w:spacing w:after="0" w:line="240" w:lineRule="auto"/>
        <w:jc w:val="both"/>
        <w:rPr>
          <w:rFonts w:ascii="Arial" w:hAnsi="Arial" w:cs="Arial"/>
          <w:sz w:val="24"/>
          <w:szCs w:val="24"/>
        </w:rPr>
      </w:pPr>
    </w:p>
    <w:p w14:paraId="28D3D78C"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Son partes en este proceso:</w:t>
      </w:r>
    </w:p>
    <w:p w14:paraId="6200DE77" w14:textId="77777777" w:rsidR="00DF6C29" w:rsidRPr="00DF6C29" w:rsidRDefault="00DF6C29" w:rsidP="00DF6C29">
      <w:pPr>
        <w:spacing w:after="0" w:line="240" w:lineRule="auto"/>
        <w:jc w:val="both"/>
        <w:rPr>
          <w:rFonts w:ascii="Arial" w:hAnsi="Arial" w:cs="Arial"/>
          <w:sz w:val="24"/>
          <w:szCs w:val="24"/>
        </w:rPr>
      </w:pPr>
    </w:p>
    <w:p w14:paraId="56635571" w14:textId="23B1EE74" w:rsidR="00DF6C29" w:rsidRPr="00DF6C29" w:rsidRDefault="00DF6C29" w:rsidP="00DF6C29">
      <w:pPr>
        <w:pStyle w:val="Prrafodelista"/>
        <w:numPr>
          <w:ilvl w:val="0"/>
          <w:numId w:val="1"/>
        </w:numPr>
        <w:spacing w:after="0" w:line="240" w:lineRule="auto"/>
        <w:jc w:val="both"/>
        <w:rPr>
          <w:rFonts w:ascii="Arial" w:hAnsi="Arial" w:cs="Arial"/>
          <w:sz w:val="24"/>
          <w:szCs w:val="24"/>
        </w:rPr>
      </w:pPr>
      <w:r w:rsidRPr="00DF6C29">
        <w:rPr>
          <w:rFonts w:ascii="Arial" w:hAnsi="Arial" w:cs="Arial"/>
          <w:b/>
          <w:bCs/>
          <w:sz w:val="24"/>
          <w:szCs w:val="24"/>
        </w:rPr>
        <w:t>DEMANDANTE</w:t>
      </w:r>
      <w:r w:rsidRPr="00DF6C29">
        <w:rPr>
          <w:rFonts w:ascii="Arial" w:hAnsi="Arial" w:cs="Arial"/>
          <w:sz w:val="24"/>
          <w:szCs w:val="24"/>
        </w:rPr>
        <w:t xml:space="preserve">: </w:t>
      </w:r>
      <w:r w:rsidRPr="00DF6C29">
        <w:rPr>
          <w:rFonts w:ascii="Arial" w:hAnsi="Arial" w:cs="Arial"/>
          <w:b/>
          <w:bCs/>
          <w:sz w:val="24"/>
          <w:szCs w:val="24"/>
        </w:rPr>
        <w:t>AFP PORVENIR S.A</w:t>
      </w:r>
      <w:r w:rsidRPr="00DF6C29">
        <w:rPr>
          <w:rFonts w:ascii="Arial" w:hAnsi="Arial" w:cs="Arial"/>
          <w:sz w:val="24"/>
          <w:szCs w:val="24"/>
        </w:rPr>
        <w:t>., con domicilio en la ciudad de Bogotá, D.C., y direcciones de notificación que obran en el expediente.</w:t>
      </w:r>
    </w:p>
    <w:p w14:paraId="3BD1C491" w14:textId="77777777" w:rsidR="00DF6C29" w:rsidRPr="00DF6C29" w:rsidRDefault="00DF6C29" w:rsidP="00DF6C29">
      <w:pPr>
        <w:spacing w:after="0" w:line="240" w:lineRule="auto"/>
        <w:jc w:val="both"/>
        <w:rPr>
          <w:rFonts w:ascii="Arial" w:hAnsi="Arial" w:cs="Arial"/>
          <w:sz w:val="24"/>
          <w:szCs w:val="24"/>
        </w:rPr>
      </w:pPr>
    </w:p>
    <w:p w14:paraId="796EB375" w14:textId="220DC9C2" w:rsidR="00DF6C29" w:rsidRPr="00DF6C29" w:rsidRDefault="00DF6C29" w:rsidP="00DF6C29">
      <w:pPr>
        <w:pStyle w:val="Prrafodelista"/>
        <w:numPr>
          <w:ilvl w:val="0"/>
          <w:numId w:val="1"/>
        </w:numPr>
        <w:spacing w:after="0" w:line="240" w:lineRule="auto"/>
        <w:jc w:val="both"/>
        <w:rPr>
          <w:rFonts w:ascii="Arial" w:hAnsi="Arial" w:cs="Arial"/>
          <w:sz w:val="24"/>
          <w:szCs w:val="24"/>
        </w:rPr>
      </w:pPr>
      <w:r w:rsidRPr="00DF6C29">
        <w:rPr>
          <w:rFonts w:ascii="Arial" w:hAnsi="Arial" w:cs="Arial"/>
          <w:b/>
          <w:bCs/>
          <w:sz w:val="24"/>
          <w:szCs w:val="24"/>
        </w:rPr>
        <w:t>DEMANDADOS</w:t>
      </w:r>
      <w:r w:rsidRPr="00DF6C29">
        <w:rPr>
          <w:rFonts w:ascii="Arial" w:hAnsi="Arial" w:cs="Arial"/>
          <w:sz w:val="24"/>
          <w:szCs w:val="24"/>
        </w:rPr>
        <w:t>: FRANCISCO JAVIER ARENAS FONSECA, CARLOS FERNANDO ARENAS FONSECA, herederos determinados de ANA LUCILA FONSECA DE ARENAS, cuyas direcciones de notificación obran en el expediente.</w:t>
      </w:r>
    </w:p>
    <w:p w14:paraId="26E785F8" w14:textId="77777777" w:rsidR="00DF6C29" w:rsidRPr="00DF6C29" w:rsidRDefault="00DF6C29" w:rsidP="00DF6C29">
      <w:pPr>
        <w:spacing w:after="0" w:line="240" w:lineRule="auto"/>
        <w:jc w:val="both"/>
        <w:rPr>
          <w:rFonts w:ascii="Arial" w:hAnsi="Arial" w:cs="Arial"/>
          <w:sz w:val="24"/>
          <w:szCs w:val="24"/>
        </w:rPr>
      </w:pPr>
    </w:p>
    <w:p w14:paraId="1B0B3551" w14:textId="1B7ECBCD" w:rsidR="00DF6C29" w:rsidRPr="00DF6C29" w:rsidRDefault="00DF6C29" w:rsidP="00DF6C29">
      <w:pPr>
        <w:spacing w:after="0" w:line="240" w:lineRule="auto"/>
        <w:jc w:val="both"/>
        <w:rPr>
          <w:rFonts w:ascii="Arial" w:hAnsi="Arial" w:cs="Arial"/>
          <w:b/>
          <w:bCs/>
          <w:sz w:val="24"/>
          <w:szCs w:val="24"/>
        </w:rPr>
      </w:pPr>
      <w:r>
        <w:rPr>
          <w:rFonts w:ascii="Arial" w:hAnsi="Arial" w:cs="Arial"/>
          <w:b/>
          <w:bCs/>
          <w:sz w:val="24"/>
          <w:szCs w:val="24"/>
        </w:rPr>
        <w:t xml:space="preserve">1.2 </w:t>
      </w:r>
      <w:r w:rsidRPr="00DF6C29">
        <w:rPr>
          <w:rFonts w:ascii="Arial" w:hAnsi="Arial" w:cs="Arial"/>
          <w:b/>
          <w:bCs/>
          <w:sz w:val="24"/>
          <w:szCs w:val="24"/>
        </w:rPr>
        <w:t>SENTENCIA IMPUGNADA</w:t>
      </w:r>
    </w:p>
    <w:p w14:paraId="18091D13" w14:textId="77777777" w:rsidR="00DF6C29" w:rsidRPr="00DF6C29" w:rsidRDefault="00DF6C29" w:rsidP="00DF6C29">
      <w:pPr>
        <w:spacing w:after="0" w:line="240" w:lineRule="auto"/>
        <w:jc w:val="both"/>
        <w:rPr>
          <w:rFonts w:ascii="Arial" w:hAnsi="Arial" w:cs="Arial"/>
          <w:sz w:val="24"/>
          <w:szCs w:val="24"/>
        </w:rPr>
      </w:pPr>
    </w:p>
    <w:p w14:paraId="30AD21AB"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La proferida por la Sala Laboral del Tribunal Superior del Distrito Judicial de Tunja, con ponencia de la </w:t>
      </w:r>
      <w:r w:rsidRPr="00DF6C29">
        <w:rPr>
          <w:rFonts w:ascii="Arial" w:hAnsi="Arial" w:cs="Arial"/>
          <w:b/>
          <w:bCs/>
          <w:sz w:val="24"/>
          <w:szCs w:val="24"/>
        </w:rPr>
        <w:t>H. Magistrada FANNY ELIZABETH ROBLES MARTÍNEZ</w:t>
      </w:r>
      <w:r w:rsidRPr="00DF6C29">
        <w:rPr>
          <w:rFonts w:ascii="Arial" w:hAnsi="Arial" w:cs="Arial"/>
          <w:sz w:val="24"/>
          <w:szCs w:val="24"/>
        </w:rPr>
        <w:t>, el treinta y uno (31) de octubre de dos mil veinticinco (2025), dentro del proceso ordinario laboral No. 15001 3105 001 2022 00022-01, radicación interna 2024-1601, notificada mediante Edicto No. 387 fijado el cuatro (4) de noviembre de dos mil veinticinco (2025).</w:t>
      </w:r>
    </w:p>
    <w:p w14:paraId="7CF166B3" w14:textId="77777777" w:rsidR="00DF6C29" w:rsidRDefault="00DF6C29" w:rsidP="00DF6C29">
      <w:pPr>
        <w:spacing w:after="0" w:line="240" w:lineRule="auto"/>
        <w:jc w:val="both"/>
        <w:rPr>
          <w:rFonts w:ascii="Arial" w:hAnsi="Arial" w:cs="Arial"/>
          <w:sz w:val="24"/>
          <w:szCs w:val="24"/>
        </w:rPr>
      </w:pPr>
    </w:p>
    <w:p w14:paraId="07811486" w14:textId="77777777" w:rsidR="00DF6C29" w:rsidRPr="00DF6C29" w:rsidRDefault="00DF6C29" w:rsidP="00DF6C29">
      <w:pPr>
        <w:spacing w:after="0" w:line="240" w:lineRule="auto"/>
        <w:jc w:val="both"/>
        <w:rPr>
          <w:rFonts w:ascii="Arial" w:hAnsi="Arial" w:cs="Arial"/>
          <w:sz w:val="24"/>
          <w:szCs w:val="24"/>
        </w:rPr>
      </w:pPr>
    </w:p>
    <w:p w14:paraId="53FDC91A" w14:textId="74691F71"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lastRenderedPageBreak/>
        <w:t xml:space="preserve">2. </w:t>
      </w:r>
      <w:r w:rsidRPr="00DF6C29">
        <w:rPr>
          <w:rFonts w:ascii="Arial" w:hAnsi="Arial" w:cs="Arial"/>
          <w:b/>
          <w:bCs/>
          <w:sz w:val="24"/>
          <w:szCs w:val="24"/>
        </w:rPr>
        <w:t>RELACIÓN SINTÉTICA DEL PROCESO Y DE LOS HECHOS MATERIA DE LITIGIO</w:t>
      </w:r>
    </w:p>
    <w:p w14:paraId="4A18CFD3" w14:textId="77777777" w:rsidR="00DF6C29" w:rsidRPr="00DF6C29" w:rsidRDefault="00DF6C29" w:rsidP="00DF6C29">
      <w:pPr>
        <w:spacing w:after="0" w:line="240" w:lineRule="auto"/>
        <w:jc w:val="both"/>
        <w:rPr>
          <w:rFonts w:ascii="Arial" w:hAnsi="Arial" w:cs="Arial"/>
          <w:sz w:val="24"/>
          <w:szCs w:val="24"/>
        </w:rPr>
      </w:pPr>
    </w:p>
    <w:p w14:paraId="55EC74DF" w14:textId="791513C9" w:rsidR="00DF6C29" w:rsidRPr="00DF6C29" w:rsidRDefault="00DF6C29" w:rsidP="00DF6C29">
      <w:pPr>
        <w:pStyle w:val="paragraph"/>
        <w:spacing w:before="0" w:beforeAutospacing="0" w:after="0" w:afterAutospacing="0"/>
        <w:jc w:val="both"/>
        <w:textAlignment w:val="baseline"/>
        <w:rPr>
          <w:rStyle w:val="normaltextrun"/>
          <w:rFonts w:ascii="Arial" w:eastAsiaTheme="majorEastAsia" w:hAnsi="Arial" w:cs="Arial"/>
          <w:b/>
          <w:bCs/>
          <w:lang w:val="es-ES"/>
        </w:rPr>
      </w:pPr>
      <w:r w:rsidRPr="00DF6C29">
        <w:rPr>
          <w:rStyle w:val="normaltextrun"/>
          <w:rFonts w:ascii="Arial" w:eastAsiaTheme="majorEastAsia" w:hAnsi="Arial" w:cs="Arial"/>
          <w:b/>
          <w:bCs/>
          <w:lang w:val="es-ES"/>
        </w:rPr>
        <w:t xml:space="preserve">2.1 </w:t>
      </w:r>
      <w:r w:rsidRPr="00DF6C29">
        <w:rPr>
          <w:rStyle w:val="normaltextrun"/>
          <w:rFonts w:ascii="Arial" w:eastAsiaTheme="majorEastAsia" w:hAnsi="Arial" w:cs="Arial"/>
          <w:b/>
          <w:bCs/>
          <w:lang w:val="es-ES"/>
        </w:rPr>
        <w:t>RELACION SINTETICA DE LO HECHOS EN LITIGIO</w:t>
      </w:r>
    </w:p>
    <w:p w14:paraId="5C94DCEE" w14:textId="77777777" w:rsidR="00DF6C29" w:rsidRDefault="00DF6C29" w:rsidP="00DF6C29">
      <w:pPr>
        <w:spacing w:after="0" w:line="240" w:lineRule="auto"/>
        <w:jc w:val="both"/>
        <w:rPr>
          <w:rFonts w:ascii="Arial" w:hAnsi="Arial" w:cs="Arial"/>
          <w:b/>
          <w:bCs/>
          <w:sz w:val="24"/>
          <w:szCs w:val="24"/>
        </w:rPr>
      </w:pPr>
    </w:p>
    <w:p w14:paraId="34E9A247" w14:textId="27E6CEB6" w:rsidR="00DF6C29" w:rsidRPr="00DF6C29" w:rsidRDefault="00DF6C29" w:rsidP="00DF6C29">
      <w:pPr>
        <w:spacing w:after="0" w:line="240" w:lineRule="auto"/>
        <w:jc w:val="both"/>
        <w:rPr>
          <w:rFonts w:ascii="Arial" w:hAnsi="Arial" w:cs="Arial"/>
          <w:sz w:val="24"/>
          <w:szCs w:val="24"/>
        </w:rPr>
      </w:pPr>
      <w:r w:rsidRPr="00DF6C29">
        <w:rPr>
          <w:rFonts w:ascii="Arial" w:hAnsi="Arial" w:cs="Arial"/>
          <w:b/>
          <w:bCs/>
          <w:sz w:val="24"/>
          <w:szCs w:val="24"/>
        </w:rPr>
        <w:t>PRIMERO:</w:t>
      </w:r>
      <w:r w:rsidRPr="00DF6C29">
        <w:rPr>
          <w:rFonts w:ascii="Arial" w:hAnsi="Arial" w:cs="Arial"/>
          <w:sz w:val="24"/>
          <w:szCs w:val="24"/>
        </w:rPr>
        <w:t xml:space="preserve"> Francisco Antonio Arenas Aragón nació el 17 de marzo de 1938.</w:t>
      </w:r>
    </w:p>
    <w:p w14:paraId="0203425B" w14:textId="77777777" w:rsidR="00DF6C29" w:rsidRPr="00DF6C29" w:rsidRDefault="00DF6C29" w:rsidP="00DF6C29">
      <w:pPr>
        <w:spacing w:after="0" w:line="240" w:lineRule="auto"/>
        <w:jc w:val="both"/>
        <w:rPr>
          <w:rFonts w:ascii="Arial" w:hAnsi="Arial" w:cs="Arial"/>
          <w:sz w:val="24"/>
          <w:szCs w:val="24"/>
        </w:rPr>
      </w:pPr>
    </w:p>
    <w:p w14:paraId="52155840"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b/>
          <w:bCs/>
          <w:sz w:val="24"/>
          <w:szCs w:val="24"/>
        </w:rPr>
        <w:t>SEGUNDO:</w:t>
      </w:r>
      <w:r w:rsidRPr="00DF6C29">
        <w:rPr>
          <w:rFonts w:ascii="Arial" w:hAnsi="Arial" w:cs="Arial"/>
          <w:sz w:val="24"/>
          <w:szCs w:val="24"/>
        </w:rPr>
        <w:t xml:space="preserve"> El 1 de agosto de 1998 solicitó traslado del Régimen de Prima Media con Prestación Definida al Régimen de Ahorro Individual con Solidaridad administrado por AFP Porvenir S.A., con efectividad a partir del 1 de octubre de 1998.</w:t>
      </w:r>
    </w:p>
    <w:p w14:paraId="17E77C20" w14:textId="77777777" w:rsidR="00DF6C29" w:rsidRPr="00DF6C29" w:rsidRDefault="00DF6C29" w:rsidP="00DF6C29">
      <w:pPr>
        <w:spacing w:after="0" w:line="240" w:lineRule="auto"/>
        <w:jc w:val="both"/>
        <w:rPr>
          <w:rFonts w:ascii="Arial" w:hAnsi="Arial" w:cs="Arial"/>
          <w:sz w:val="24"/>
          <w:szCs w:val="24"/>
        </w:rPr>
      </w:pPr>
    </w:p>
    <w:p w14:paraId="26919F2F"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b/>
          <w:bCs/>
          <w:sz w:val="24"/>
          <w:szCs w:val="24"/>
        </w:rPr>
        <w:t>TERCERO:</w:t>
      </w:r>
      <w:r w:rsidRPr="00DF6C29">
        <w:rPr>
          <w:rFonts w:ascii="Arial" w:hAnsi="Arial" w:cs="Arial"/>
          <w:sz w:val="24"/>
          <w:szCs w:val="24"/>
        </w:rPr>
        <w:t xml:space="preserve"> Mediante Resolución 352 del 26 de enero de 1999, el Instituto de Seguros Sociales le reconoció pensión de vejez, posteriormente modificada por la Resolución 1688 del 17 de abril de 2000, en el sentido de causar la prestación desde el 17 de marzo de 1998.</w:t>
      </w:r>
    </w:p>
    <w:p w14:paraId="3B949375" w14:textId="77777777" w:rsidR="00DF6C29" w:rsidRPr="00DF6C29" w:rsidRDefault="00DF6C29" w:rsidP="00DF6C29">
      <w:pPr>
        <w:spacing w:after="0" w:line="240" w:lineRule="auto"/>
        <w:jc w:val="both"/>
        <w:rPr>
          <w:rFonts w:ascii="Arial" w:hAnsi="Arial" w:cs="Arial"/>
          <w:sz w:val="24"/>
          <w:szCs w:val="24"/>
        </w:rPr>
      </w:pPr>
    </w:p>
    <w:p w14:paraId="4DE9D0FC"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b/>
          <w:bCs/>
          <w:sz w:val="24"/>
          <w:szCs w:val="24"/>
        </w:rPr>
        <w:t>CUARTO:</w:t>
      </w:r>
      <w:r w:rsidRPr="00DF6C29">
        <w:rPr>
          <w:rFonts w:ascii="Arial" w:hAnsi="Arial" w:cs="Arial"/>
          <w:sz w:val="24"/>
          <w:szCs w:val="24"/>
        </w:rPr>
        <w:t xml:space="preserve"> Francisco Antonio Arenas Aragón falleció el 21 de marzo de 2000.</w:t>
      </w:r>
    </w:p>
    <w:p w14:paraId="1E033974" w14:textId="77777777" w:rsidR="00DF6C29" w:rsidRPr="00DF6C29" w:rsidRDefault="00DF6C29" w:rsidP="00DF6C29">
      <w:pPr>
        <w:spacing w:after="0" w:line="240" w:lineRule="auto"/>
        <w:jc w:val="both"/>
        <w:rPr>
          <w:rFonts w:ascii="Arial" w:hAnsi="Arial" w:cs="Arial"/>
          <w:sz w:val="24"/>
          <w:szCs w:val="24"/>
        </w:rPr>
      </w:pPr>
    </w:p>
    <w:p w14:paraId="7CBFCBD0"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b/>
          <w:bCs/>
          <w:sz w:val="24"/>
          <w:szCs w:val="24"/>
        </w:rPr>
        <w:t>QUINTO:</w:t>
      </w:r>
      <w:r w:rsidRPr="00DF6C29">
        <w:rPr>
          <w:rFonts w:ascii="Arial" w:hAnsi="Arial" w:cs="Arial"/>
          <w:sz w:val="24"/>
          <w:szCs w:val="24"/>
        </w:rPr>
        <w:t xml:space="preserve"> El Instituto de Seguros Sociales reconoció pensión de sobrevivientes a Ana Lucila Fonseca Arenas, dejando en suspenso el 50% a favor de Francisco Javier Arenas Fonseca, hijo en condición de invalidez, decisión posteriormente modificada mediante Resolución 4170 del 16 de diciembre de 2001.</w:t>
      </w:r>
    </w:p>
    <w:p w14:paraId="64FADF00" w14:textId="77777777" w:rsidR="00DF6C29" w:rsidRPr="00DF6C29" w:rsidRDefault="00DF6C29" w:rsidP="00DF6C29">
      <w:pPr>
        <w:spacing w:after="0" w:line="240" w:lineRule="auto"/>
        <w:jc w:val="both"/>
        <w:rPr>
          <w:rFonts w:ascii="Arial" w:hAnsi="Arial" w:cs="Arial"/>
          <w:sz w:val="24"/>
          <w:szCs w:val="24"/>
        </w:rPr>
      </w:pPr>
    </w:p>
    <w:p w14:paraId="0749E755"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b/>
          <w:bCs/>
          <w:sz w:val="24"/>
          <w:szCs w:val="24"/>
        </w:rPr>
        <w:t>SEXTO:</w:t>
      </w:r>
      <w:r w:rsidRPr="00DF6C29">
        <w:rPr>
          <w:rFonts w:ascii="Arial" w:hAnsi="Arial" w:cs="Arial"/>
          <w:sz w:val="24"/>
          <w:szCs w:val="24"/>
        </w:rPr>
        <w:t xml:space="preserve"> Mediante comunicación del 9 de agosto de 2000, AFP Porvenir S.A. reconoció pensión de sobrevivientes a Ana Lucila Fonseca Arenas y a sus hijos Francisco Javier y Carlos Fernando Arenas Fonseca, con efectos a partir del 11 de agosto de 2000.</w:t>
      </w:r>
    </w:p>
    <w:p w14:paraId="393C63AC" w14:textId="77777777" w:rsidR="00DF6C29" w:rsidRPr="00DF6C29" w:rsidRDefault="00DF6C29" w:rsidP="00DF6C29">
      <w:pPr>
        <w:spacing w:after="0" w:line="240" w:lineRule="auto"/>
        <w:jc w:val="both"/>
        <w:rPr>
          <w:rFonts w:ascii="Arial" w:hAnsi="Arial" w:cs="Arial"/>
          <w:sz w:val="24"/>
          <w:szCs w:val="24"/>
        </w:rPr>
      </w:pPr>
    </w:p>
    <w:p w14:paraId="5CC89560"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b/>
          <w:bCs/>
          <w:sz w:val="24"/>
          <w:szCs w:val="24"/>
        </w:rPr>
        <w:t>SÉPTIMO:</w:t>
      </w:r>
      <w:r w:rsidRPr="00DF6C29">
        <w:rPr>
          <w:rFonts w:ascii="Arial" w:hAnsi="Arial" w:cs="Arial"/>
          <w:sz w:val="24"/>
          <w:szCs w:val="24"/>
        </w:rPr>
        <w:t xml:space="preserve"> En agosto de 2000 se contrató renta vitalicia con Seguros de Vida Alfa S.A., entidad que asumió el pago de la prestación.</w:t>
      </w:r>
    </w:p>
    <w:p w14:paraId="16176031" w14:textId="77777777" w:rsidR="00DF6C29" w:rsidRPr="00DF6C29" w:rsidRDefault="00DF6C29" w:rsidP="00DF6C29">
      <w:pPr>
        <w:spacing w:after="0" w:line="240" w:lineRule="auto"/>
        <w:jc w:val="both"/>
        <w:rPr>
          <w:rFonts w:ascii="Arial" w:hAnsi="Arial" w:cs="Arial"/>
          <w:sz w:val="24"/>
          <w:szCs w:val="24"/>
        </w:rPr>
      </w:pPr>
    </w:p>
    <w:p w14:paraId="19D1E2E3"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b/>
          <w:bCs/>
          <w:sz w:val="24"/>
          <w:szCs w:val="24"/>
        </w:rPr>
        <w:t>OCTAVO:</w:t>
      </w:r>
      <w:r w:rsidRPr="00DF6C29">
        <w:rPr>
          <w:rFonts w:ascii="Arial" w:hAnsi="Arial" w:cs="Arial"/>
          <w:sz w:val="24"/>
          <w:szCs w:val="24"/>
        </w:rPr>
        <w:t xml:space="preserve"> AFP Porvenir S.A. promovió el presente proceso con el objeto de que se declarara inválida la afiliación al RAIS, que se negara eficacia al reconocimiento de la pensión de sobrevivientes y que se ordenara el reintegro de las mesadas pagadas.</w:t>
      </w:r>
    </w:p>
    <w:p w14:paraId="23F9E2F4" w14:textId="77777777" w:rsidR="00DF6C29" w:rsidRPr="00DF6C29" w:rsidRDefault="00DF6C29" w:rsidP="00DF6C29">
      <w:pPr>
        <w:spacing w:after="0" w:line="240" w:lineRule="auto"/>
        <w:jc w:val="both"/>
        <w:rPr>
          <w:rFonts w:ascii="Arial" w:hAnsi="Arial" w:cs="Arial"/>
          <w:sz w:val="24"/>
          <w:szCs w:val="24"/>
        </w:rPr>
      </w:pPr>
    </w:p>
    <w:p w14:paraId="44845EDE"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b/>
          <w:bCs/>
          <w:sz w:val="24"/>
          <w:szCs w:val="24"/>
        </w:rPr>
        <w:t>NOVENO:</w:t>
      </w:r>
      <w:r w:rsidRPr="00DF6C29">
        <w:rPr>
          <w:rFonts w:ascii="Arial" w:hAnsi="Arial" w:cs="Arial"/>
          <w:sz w:val="24"/>
          <w:szCs w:val="24"/>
        </w:rPr>
        <w:t xml:space="preserve"> El Juzgado Primero Laboral del Circuito de Tunja negó la totalidad de las pretensiones; sin embargo, el Tribunal Superior del Distrito Judicial de Tunja revocó esa decisión, declaró inválida la afiliación al RAIS, concluyó que AFP Porvenir S.A. no tenía a su cargo el reconocimiento de la pensión de sobrevivientes y ordenó a los demandados reintegrar a dicha administradora los montos recibidos como mesadas pensionales, con intereses de mora, imponiendo además a la parte demandada las costas de primera instancia.</w:t>
      </w:r>
    </w:p>
    <w:p w14:paraId="25383547" w14:textId="77777777" w:rsidR="00DF6C29" w:rsidRPr="00DF6C29" w:rsidRDefault="00DF6C29" w:rsidP="00DF6C29">
      <w:pPr>
        <w:spacing w:after="0" w:line="240" w:lineRule="auto"/>
        <w:jc w:val="both"/>
        <w:rPr>
          <w:rFonts w:ascii="Arial" w:hAnsi="Arial" w:cs="Arial"/>
          <w:sz w:val="24"/>
          <w:szCs w:val="24"/>
        </w:rPr>
      </w:pPr>
    </w:p>
    <w:p w14:paraId="100192A1" w14:textId="77777777" w:rsidR="00DF6C29" w:rsidRDefault="00DF6C29" w:rsidP="00DF6C29">
      <w:pPr>
        <w:spacing w:after="0" w:line="240" w:lineRule="auto"/>
        <w:jc w:val="both"/>
        <w:rPr>
          <w:rFonts w:ascii="Arial" w:hAnsi="Arial" w:cs="Arial"/>
          <w:b/>
          <w:bCs/>
          <w:sz w:val="24"/>
          <w:szCs w:val="24"/>
        </w:rPr>
      </w:pPr>
    </w:p>
    <w:p w14:paraId="19935FC1" w14:textId="77777777" w:rsidR="00DF6C29" w:rsidRDefault="00DF6C29" w:rsidP="00DF6C29">
      <w:pPr>
        <w:spacing w:after="0" w:line="240" w:lineRule="auto"/>
        <w:jc w:val="both"/>
        <w:rPr>
          <w:rFonts w:ascii="Arial" w:hAnsi="Arial" w:cs="Arial"/>
          <w:b/>
          <w:bCs/>
          <w:sz w:val="24"/>
          <w:szCs w:val="24"/>
        </w:rPr>
      </w:pPr>
    </w:p>
    <w:p w14:paraId="7860BB55" w14:textId="2762EFB9" w:rsidR="00DF6C29" w:rsidRPr="00DF6C29" w:rsidRDefault="00DF6C29" w:rsidP="00DF6C29">
      <w:pPr>
        <w:spacing w:after="0" w:line="240" w:lineRule="auto"/>
        <w:jc w:val="both"/>
        <w:rPr>
          <w:rFonts w:ascii="Arial" w:hAnsi="Arial" w:cs="Arial"/>
          <w:b/>
          <w:bCs/>
          <w:sz w:val="24"/>
          <w:szCs w:val="24"/>
        </w:rPr>
      </w:pPr>
      <w:r>
        <w:rPr>
          <w:rFonts w:ascii="Arial" w:hAnsi="Arial" w:cs="Arial"/>
          <w:b/>
          <w:bCs/>
          <w:sz w:val="24"/>
          <w:szCs w:val="24"/>
        </w:rPr>
        <w:lastRenderedPageBreak/>
        <w:t xml:space="preserve">2.2 </w:t>
      </w:r>
      <w:r w:rsidRPr="00DF6C29">
        <w:rPr>
          <w:rFonts w:ascii="Arial" w:hAnsi="Arial" w:cs="Arial"/>
          <w:b/>
          <w:bCs/>
          <w:sz w:val="24"/>
          <w:szCs w:val="24"/>
        </w:rPr>
        <w:t>RELACIÓN DE LA ACTIVIDAD PROCESAL</w:t>
      </w:r>
    </w:p>
    <w:p w14:paraId="31FFA437" w14:textId="77777777" w:rsidR="00DF6C29" w:rsidRPr="00DF6C29" w:rsidRDefault="00DF6C29" w:rsidP="00DF6C29">
      <w:pPr>
        <w:spacing w:after="0" w:line="240" w:lineRule="auto"/>
        <w:jc w:val="both"/>
        <w:rPr>
          <w:rFonts w:ascii="Arial" w:hAnsi="Arial" w:cs="Arial"/>
          <w:sz w:val="24"/>
          <w:szCs w:val="24"/>
        </w:rPr>
      </w:pPr>
    </w:p>
    <w:p w14:paraId="374BA108" w14:textId="6CBFC97A" w:rsidR="00DF6C29" w:rsidRPr="00DF6C29" w:rsidRDefault="00DF6C29" w:rsidP="00DF6C29">
      <w:pPr>
        <w:spacing w:after="0" w:line="240" w:lineRule="auto"/>
        <w:jc w:val="both"/>
        <w:rPr>
          <w:rFonts w:ascii="Arial" w:hAnsi="Arial" w:cs="Arial"/>
          <w:sz w:val="24"/>
          <w:szCs w:val="24"/>
        </w:rPr>
      </w:pPr>
      <w:r w:rsidRPr="00DF6C29">
        <w:rPr>
          <w:rFonts w:ascii="Arial" w:hAnsi="Arial" w:cs="Arial"/>
          <w:b/>
          <w:bCs/>
          <w:sz w:val="24"/>
          <w:szCs w:val="24"/>
        </w:rPr>
        <w:t>AFP PORVENIR S.A</w:t>
      </w:r>
      <w:r w:rsidRPr="00DF6C29">
        <w:rPr>
          <w:rFonts w:ascii="Arial" w:hAnsi="Arial" w:cs="Arial"/>
          <w:sz w:val="24"/>
          <w:szCs w:val="24"/>
        </w:rPr>
        <w:t>. presentó demanda ordinaria laboral en contra de Francisco Javier Arenas Fonseca, representado por Carlos Fernando Arenas Fonseca, con el fin de obtener la declaratoria de invalidez de la afiliación de Francisco Antonio Arenas Aragón al Régimen de Ahorro Individual con Solidaridad, la exclusión de toda obligación pensional a su cargo y la devolución de las sumas pagadas por concepto de pensión de sobrevivientes. La demanda fue admitida por el Juzgado Primero Laboral del Circuito de Tunja. Durante el trámite, se integró el contradictorio con Carlos Fernando Arenas Fonseca y con los herederos indeterminados de Ana Lucila Fonseca de Arenas; posteriormente, se tuvo como herederos determinados de esta a Francisco Javier Arenas Fonseca y a Carlos Fernando Arenas Fonseca.</w:t>
      </w:r>
    </w:p>
    <w:p w14:paraId="6B6D7B95" w14:textId="77777777" w:rsidR="00DF6C29" w:rsidRPr="00DF6C29" w:rsidRDefault="00DF6C29" w:rsidP="00DF6C29">
      <w:pPr>
        <w:spacing w:after="0" w:line="240" w:lineRule="auto"/>
        <w:jc w:val="both"/>
        <w:rPr>
          <w:rFonts w:ascii="Arial" w:hAnsi="Arial" w:cs="Arial"/>
          <w:sz w:val="24"/>
          <w:szCs w:val="24"/>
        </w:rPr>
      </w:pPr>
    </w:p>
    <w:p w14:paraId="622AEE80"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Surtidas las etapas procesales correspondientes, el Juzgado Primero Laboral del Circuito de Tunja, mediante sentencia del 25 de noviembre de 2024, declaró probada la excepción denominada “derecho a doble asignación pensional” y negó la totalidad de las pretensiones de la demanda, condenando en costas a la parte actora. Apelada dicha decisión por la demandante, la Sala Laboral del Tribunal Superior del Distrito Judicial de Tunja, mediante sentencia de 31 de octubre de 2025, revocó íntegramente el fallo absolutorio y accedió sustancialmente a las pretensiones de la demanda, en los términos ya expuestos.</w:t>
      </w:r>
    </w:p>
    <w:p w14:paraId="240C8995" w14:textId="77777777" w:rsidR="00DF6C29" w:rsidRPr="00DF6C29" w:rsidRDefault="00DF6C29" w:rsidP="00DF6C29">
      <w:pPr>
        <w:spacing w:after="0" w:line="240" w:lineRule="auto"/>
        <w:jc w:val="both"/>
        <w:rPr>
          <w:rFonts w:ascii="Arial" w:hAnsi="Arial" w:cs="Arial"/>
          <w:sz w:val="24"/>
          <w:szCs w:val="24"/>
        </w:rPr>
      </w:pPr>
    </w:p>
    <w:p w14:paraId="518B8AD3" w14:textId="714ABB71" w:rsidR="00DF6C29" w:rsidRPr="00DF6C29" w:rsidRDefault="00DF6C29" w:rsidP="00DF6C29">
      <w:pPr>
        <w:spacing w:after="0" w:line="240" w:lineRule="auto"/>
        <w:jc w:val="both"/>
        <w:rPr>
          <w:rFonts w:ascii="Tahoma" w:hAnsi="Tahoma" w:cs="Tahoma"/>
          <w:b/>
          <w:bCs/>
          <w:sz w:val="24"/>
          <w:szCs w:val="24"/>
        </w:rPr>
      </w:pPr>
      <w:r>
        <w:rPr>
          <w:rFonts w:ascii="Tahoma" w:hAnsi="Tahoma" w:cs="Tahoma"/>
          <w:b/>
          <w:bCs/>
          <w:sz w:val="24"/>
          <w:szCs w:val="24"/>
        </w:rPr>
        <w:t xml:space="preserve">3. </w:t>
      </w:r>
      <w:r w:rsidRPr="00DF6C29">
        <w:rPr>
          <w:rFonts w:ascii="Tahoma" w:hAnsi="Tahoma" w:cs="Tahoma"/>
          <w:b/>
          <w:bCs/>
          <w:sz w:val="24"/>
          <w:szCs w:val="24"/>
        </w:rPr>
        <w:t>PETITUM O ALCANCE DE LA IMPUGANCION, CAUSA PRETENDI O MOTIVOS DE LA CASACION Y CARGOS</w:t>
      </w:r>
    </w:p>
    <w:p w14:paraId="705C49F8" w14:textId="77777777" w:rsidR="00DF6C29" w:rsidRDefault="00DF6C29" w:rsidP="00DF6C29">
      <w:pPr>
        <w:spacing w:after="0" w:line="240" w:lineRule="auto"/>
        <w:jc w:val="both"/>
        <w:rPr>
          <w:rFonts w:ascii="Arial" w:hAnsi="Arial" w:cs="Arial"/>
          <w:sz w:val="24"/>
          <w:szCs w:val="24"/>
        </w:rPr>
      </w:pPr>
    </w:p>
    <w:p w14:paraId="1006CDE2" w14:textId="2401615C"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 xml:space="preserve">3.1 </w:t>
      </w:r>
      <w:r w:rsidRPr="00DF6C29">
        <w:rPr>
          <w:rFonts w:ascii="Arial" w:hAnsi="Arial" w:cs="Arial"/>
          <w:b/>
          <w:bCs/>
          <w:sz w:val="24"/>
          <w:szCs w:val="24"/>
        </w:rPr>
        <w:t>ALCANCE DE LA IMPUGNACIÓN</w:t>
      </w:r>
    </w:p>
    <w:p w14:paraId="701505C7" w14:textId="77777777" w:rsidR="00DF6C29" w:rsidRPr="00DF6C29" w:rsidRDefault="00DF6C29" w:rsidP="00DF6C29">
      <w:pPr>
        <w:spacing w:after="0" w:line="240" w:lineRule="auto"/>
        <w:jc w:val="both"/>
        <w:rPr>
          <w:rFonts w:ascii="Arial" w:hAnsi="Arial" w:cs="Arial"/>
          <w:sz w:val="24"/>
          <w:szCs w:val="24"/>
        </w:rPr>
      </w:pPr>
    </w:p>
    <w:p w14:paraId="718BA9B6" w14:textId="6400C8BB"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Respecto del cargo primero</w:t>
      </w:r>
      <w:r>
        <w:rPr>
          <w:rFonts w:ascii="Arial" w:hAnsi="Arial" w:cs="Arial"/>
          <w:sz w:val="24"/>
          <w:szCs w:val="24"/>
        </w:rPr>
        <w:t>.</w:t>
      </w:r>
    </w:p>
    <w:p w14:paraId="15FAA63A" w14:textId="77777777" w:rsidR="00DF6C29" w:rsidRPr="00DF6C29" w:rsidRDefault="00DF6C29" w:rsidP="00DF6C29">
      <w:pPr>
        <w:spacing w:after="0" w:line="240" w:lineRule="auto"/>
        <w:jc w:val="both"/>
        <w:rPr>
          <w:rFonts w:ascii="Arial" w:hAnsi="Arial" w:cs="Arial"/>
          <w:sz w:val="24"/>
          <w:szCs w:val="24"/>
        </w:rPr>
      </w:pPr>
    </w:p>
    <w:p w14:paraId="4BC7C354"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Pretende el recurrente que la Honorable Corte </w:t>
      </w:r>
      <w:r w:rsidRPr="00DF6C29">
        <w:rPr>
          <w:rFonts w:ascii="Arial" w:hAnsi="Arial" w:cs="Arial"/>
          <w:b/>
          <w:bCs/>
          <w:sz w:val="24"/>
          <w:szCs w:val="24"/>
        </w:rPr>
        <w:t>CASE TOTALMENTE</w:t>
      </w:r>
      <w:r w:rsidRPr="00DF6C29">
        <w:rPr>
          <w:rFonts w:ascii="Arial" w:hAnsi="Arial" w:cs="Arial"/>
          <w:sz w:val="24"/>
          <w:szCs w:val="24"/>
        </w:rPr>
        <w:t xml:space="preserve"> la sentencia proferida por la Sala Laboral del Tribunal Superior del Distrito Judicial de Tunja el treinta y uno (31) de octubre de dos mil veinticinco (2025), dentro del proceso ordinario laboral No. 15001 3105 001 2022 00022-01, para que, en sede de instancia, </w:t>
      </w:r>
      <w:r w:rsidRPr="00DF6C29">
        <w:rPr>
          <w:rFonts w:ascii="Arial" w:hAnsi="Arial" w:cs="Arial"/>
          <w:b/>
          <w:bCs/>
          <w:sz w:val="24"/>
          <w:szCs w:val="24"/>
        </w:rPr>
        <w:t>CONFIRME</w:t>
      </w:r>
      <w:r w:rsidRPr="00DF6C29">
        <w:rPr>
          <w:rFonts w:ascii="Arial" w:hAnsi="Arial" w:cs="Arial"/>
          <w:sz w:val="24"/>
          <w:szCs w:val="24"/>
        </w:rPr>
        <w:t xml:space="preserve"> íntegramente la sentencia dictada por el Juzgado Primero Laboral del Circuito de Tunja el veinticinco (25) de noviembre de dos mil veinticuatro (2024), mediante la cual se negaron las pretensiones de la demanda promovida por AFP PORVENIR S.A., inclusive en lo relativo a la condena en costas impuesta a la parte actora en primera instancia.</w:t>
      </w:r>
    </w:p>
    <w:p w14:paraId="499D5990" w14:textId="77777777" w:rsidR="00DF6C29" w:rsidRPr="00DF6C29" w:rsidRDefault="00DF6C29" w:rsidP="00DF6C29">
      <w:pPr>
        <w:spacing w:after="0" w:line="240" w:lineRule="auto"/>
        <w:jc w:val="both"/>
        <w:rPr>
          <w:rFonts w:ascii="Arial" w:hAnsi="Arial" w:cs="Arial"/>
          <w:sz w:val="24"/>
          <w:szCs w:val="24"/>
        </w:rPr>
      </w:pPr>
    </w:p>
    <w:p w14:paraId="3481C04E"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Respecto del cargo segundo, formulado subsidiariamente</w:t>
      </w:r>
    </w:p>
    <w:p w14:paraId="70BB45C0" w14:textId="77777777" w:rsidR="00DF6C29" w:rsidRPr="00DF6C29" w:rsidRDefault="00DF6C29" w:rsidP="00DF6C29">
      <w:pPr>
        <w:spacing w:after="0" w:line="240" w:lineRule="auto"/>
        <w:jc w:val="both"/>
        <w:rPr>
          <w:rFonts w:ascii="Arial" w:hAnsi="Arial" w:cs="Arial"/>
          <w:sz w:val="24"/>
          <w:szCs w:val="24"/>
        </w:rPr>
      </w:pPr>
    </w:p>
    <w:p w14:paraId="5B6FD9A6"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Subsidiariamente, pretende el recurrente que la Honorable Corte </w:t>
      </w:r>
      <w:r w:rsidRPr="00E45319">
        <w:rPr>
          <w:rFonts w:ascii="Arial" w:hAnsi="Arial" w:cs="Arial"/>
          <w:b/>
          <w:bCs/>
          <w:sz w:val="24"/>
          <w:szCs w:val="24"/>
        </w:rPr>
        <w:t>CASE PARCIALMENTE</w:t>
      </w:r>
      <w:r w:rsidRPr="00DF6C29">
        <w:rPr>
          <w:rFonts w:ascii="Arial" w:hAnsi="Arial" w:cs="Arial"/>
          <w:sz w:val="24"/>
          <w:szCs w:val="24"/>
        </w:rPr>
        <w:t xml:space="preserve"> la sentencia impugnada, exclusivamente en cuanto ordenó a los demandados y herederos reintegrar a </w:t>
      </w:r>
      <w:r w:rsidRPr="00E45319">
        <w:rPr>
          <w:rFonts w:ascii="Arial" w:hAnsi="Arial" w:cs="Arial"/>
          <w:b/>
          <w:bCs/>
          <w:sz w:val="24"/>
          <w:szCs w:val="24"/>
        </w:rPr>
        <w:t>AFP PORVENIR S.A</w:t>
      </w:r>
      <w:r w:rsidRPr="00DF6C29">
        <w:rPr>
          <w:rFonts w:ascii="Arial" w:hAnsi="Arial" w:cs="Arial"/>
          <w:sz w:val="24"/>
          <w:szCs w:val="24"/>
        </w:rPr>
        <w:t xml:space="preserve">. los montos recibidos como mesadas pensionales, junto con intereses de mora, así como en cuanto impuso a la parte demandada las costas de primera instancia, para que, en sede de </w:t>
      </w:r>
      <w:r w:rsidRPr="00DF6C29">
        <w:rPr>
          <w:rFonts w:ascii="Arial" w:hAnsi="Arial" w:cs="Arial"/>
          <w:sz w:val="24"/>
          <w:szCs w:val="24"/>
        </w:rPr>
        <w:lastRenderedPageBreak/>
        <w:t xml:space="preserve">instancia, </w:t>
      </w:r>
      <w:r w:rsidRPr="00E45319">
        <w:rPr>
          <w:rFonts w:ascii="Arial" w:hAnsi="Arial" w:cs="Arial"/>
          <w:b/>
          <w:bCs/>
          <w:sz w:val="24"/>
          <w:szCs w:val="24"/>
        </w:rPr>
        <w:t>REVOQUE</w:t>
      </w:r>
      <w:r w:rsidRPr="00DF6C29">
        <w:rPr>
          <w:rFonts w:ascii="Arial" w:hAnsi="Arial" w:cs="Arial"/>
          <w:sz w:val="24"/>
          <w:szCs w:val="24"/>
        </w:rPr>
        <w:t xml:space="preserve"> esas condenas y mantenga incólume lo demás de la decisión que no resulte afectado por este cargo.</w:t>
      </w:r>
    </w:p>
    <w:p w14:paraId="6CFD9BBB" w14:textId="77777777" w:rsidR="00DF6C29" w:rsidRPr="00DF6C29" w:rsidRDefault="00DF6C29" w:rsidP="00DF6C29">
      <w:pPr>
        <w:spacing w:after="0" w:line="240" w:lineRule="auto"/>
        <w:jc w:val="both"/>
        <w:rPr>
          <w:rFonts w:ascii="Arial" w:hAnsi="Arial" w:cs="Arial"/>
          <w:sz w:val="24"/>
          <w:szCs w:val="24"/>
        </w:rPr>
      </w:pPr>
    </w:p>
    <w:p w14:paraId="584C3A63" w14:textId="0DEBB746"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3.2 </w:t>
      </w:r>
      <w:r w:rsidR="00DF6C29" w:rsidRPr="00E45319">
        <w:rPr>
          <w:rFonts w:ascii="Arial" w:hAnsi="Arial" w:cs="Arial"/>
          <w:b/>
          <w:bCs/>
          <w:sz w:val="24"/>
          <w:szCs w:val="24"/>
        </w:rPr>
        <w:t>CAUSA PRETENDI O MOTIVOS DE LA CASACIÓN</w:t>
      </w:r>
    </w:p>
    <w:p w14:paraId="7F68BFB4" w14:textId="77777777" w:rsidR="00DF6C29" w:rsidRPr="00DF6C29" w:rsidRDefault="00DF6C29" w:rsidP="00DF6C29">
      <w:pPr>
        <w:spacing w:after="0" w:line="240" w:lineRule="auto"/>
        <w:jc w:val="both"/>
        <w:rPr>
          <w:rFonts w:ascii="Arial" w:hAnsi="Arial" w:cs="Arial"/>
          <w:sz w:val="24"/>
          <w:szCs w:val="24"/>
        </w:rPr>
      </w:pPr>
    </w:p>
    <w:p w14:paraId="708F5120"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Con fundamento en la causal primera de casación prevista en el artículo 87 del Código Procesal del Trabajo y de la Seguridad Social, se acusa la sentencia impugnada por violación de la ley sustancial, a través de dos cargos autónomos: el primero, principal, por la vía directa; y el segundo, subsidiario, por la vía indirecta.</w:t>
      </w:r>
    </w:p>
    <w:p w14:paraId="452838D4" w14:textId="77777777" w:rsidR="00DF6C29" w:rsidRPr="00DF6C29" w:rsidRDefault="00DF6C29" w:rsidP="00DF6C29">
      <w:pPr>
        <w:spacing w:after="0" w:line="240" w:lineRule="auto"/>
        <w:jc w:val="both"/>
        <w:rPr>
          <w:rFonts w:ascii="Arial" w:hAnsi="Arial" w:cs="Arial"/>
          <w:sz w:val="24"/>
          <w:szCs w:val="24"/>
        </w:rPr>
      </w:pPr>
    </w:p>
    <w:p w14:paraId="5EFB4B32" w14:textId="4B722F9D" w:rsidR="00E4531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3.3 CARGOS </w:t>
      </w:r>
    </w:p>
    <w:p w14:paraId="16695DA5" w14:textId="77777777" w:rsidR="00E45319" w:rsidRDefault="00E45319" w:rsidP="00DF6C29">
      <w:pPr>
        <w:spacing w:after="0" w:line="240" w:lineRule="auto"/>
        <w:jc w:val="both"/>
        <w:rPr>
          <w:rFonts w:ascii="Arial" w:hAnsi="Arial" w:cs="Arial"/>
          <w:b/>
          <w:bCs/>
          <w:sz w:val="24"/>
          <w:szCs w:val="24"/>
        </w:rPr>
      </w:pPr>
    </w:p>
    <w:p w14:paraId="3318EEC3" w14:textId="2A80487B"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3.3.1 </w:t>
      </w:r>
      <w:r w:rsidR="00DF6C29" w:rsidRPr="00E45319">
        <w:rPr>
          <w:rFonts w:ascii="Arial" w:hAnsi="Arial" w:cs="Arial"/>
          <w:b/>
          <w:bCs/>
          <w:sz w:val="24"/>
          <w:szCs w:val="24"/>
        </w:rPr>
        <w:t>CARGO PRIMERO</w:t>
      </w:r>
    </w:p>
    <w:p w14:paraId="5E8C8F32" w14:textId="77777777" w:rsidR="00DF6C29" w:rsidRPr="00DF6C29" w:rsidRDefault="00DF6C29" w:rsidP="00DF6C29">
      <w:pPr>
        <w:spacing w:after="0" w:line="240" w:lineRule="auto"/>
        <w:jc w:val="both"/>
        <w:rPr>
          <w:rFonts w:ascii="Arial" w:hAnsi="Arial" w:cs="Arial"/>
          <w:sz w:val="24"/>
          <w:szCs w:val="24"/>
        </w:rPr>
      </w:pPr>
    </w:p>
    <w:p w14:paraId="515E61A1" w14:textId="2957EA64"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A) </w:t>
      </w:r>
      <w:r w:rsidR="00DF6C29" w:rsidRPr="00E45319">
        <w:rPr>
          <w:rFonts w:ascii="Arial" w:hAnsi="Arial" w:cs="Arial"/>
          <w:b/>
          <w:bCs/>
          <w:sz w:val="24"/>
          <w:szCs w:val="24"/>
        </w:rPr>
        <w:t>ENUNCIACIÓN</w:t>
      </w:r>
      <w:r>
        <w:rPr>
          <w:rFonts w:ascii="Arial" w:hAnsi="Arial" w:cs="Arial"/>
          <w:b/>
          <w:bCs/>
          <w:sz w:val="24"/>
          <w:szCs w:val="24"/>
        </w:rPr>
        <w:t>:</w:t>
      </w:r>
    </w:p>
    <w:p w14:paraId="2CD44FFB" w14:textId="77777777" w:rsidR="00DF6C29" w:rsidRPr="00DF6C29" w:rsidRDefault="00DF6C29" w:rsidP="00DF6C29">
      <w:pPr>
        <w:spacing w:after="0" w:line="240" w:lineRule="auto"/>
        <w:jc w:val="both"/>
        <w:rPr>
          <w:rFonts w:ascii="Arial" w:hAnsi="Arial" w:cs="Arial"/>
          <w:sz w:val="24"/>
          <w:szCs w:val="24"/>
        </w:rPr>
      </w:pPr>
    </w:p>
    <w:p w14:paraId="680D18A3"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Acuso la sentencia impugnada por la causal primera de casación, por la vía directa, en la modalidad de aplicación indebida de los artículos 16 y 61 literal b) de la Ley 100 de 1993.</w:t>
      </w:r>
    </w:p>
    <w:p w14:paraId="597717DB" w14:textId="77777777" w:rsidR="00DF6C29" w:rsidRPr="00DF6C29" w:rsidRDefault="00DF6C29" w:rsidP="00DF6C29">
      <w:pPr>
        <w:spacing w:after="0" w:line="240" w:lineRule="auto"/>
        <w:jc w:val="both"/>
        <w:rPr>
          <w:rFonts w:ascii="Arial" w:hAnsi="Arial" w:cs="Arial"/>
          <w:sz w:val="24"/>
          <w:szCs w:val="24"/>
        </w:rPr>
      </w:pPr>
    </w:p>
    <w:p w14:paraId="48DB02F3" w14:textId="2CC7C8F5"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B) </w:t>
      </w:r>
      <w:r w:rsidR="00DF6C29" w:rsidRPr="00E45319">
        <w:rPr>
          <w:rFonts w:ascii="Arial" w:hAnsi="Arial" w:cs="Arial"/>
          <w:b/>
          <w:bCs/>
          <w:sz w:val="24"/>
          <w:szCs w:val="24"/>
        </w:rPr>
        <w:t>DEMOSTRACIÓN</w:t>
      </w:r>
      <w:r>
        <w:rPr>
          <w:rFonts w:ascii="Arial" w:hAnsi="Arial" w:cs="Arial"/>
          <w:b/>
          <w:bCs/>
          <w:sz w:val="24"/>
          <w:szCs w:val="24"/>
        </w:rPr>
        <w:t>:</w:t>
      </w:r>
    </w:p>
    <w:p w14:paraId="150D0EAE" w14:textId="77777777" w:rsidR="00DF6C29" w:rsidRPr="00DF6C29" w:rsidRDefault="00DF6C29" w:rsidP="00DF6C29">
      <w:pPr>
        <w:spacing w:after="0" w:line="240" w:lineRule="auto"/>
        <w:jc w:val="both"/>
        <w:rPr>
          <w:rFonts w:ascii="Arial" w:hAnsi="Arial" w:cs="Arial"/>
          <w:sz w:val="24"/>
          <w:szCs w:val="24"/>
        </w:rPr>
      </w:pPr>
    </w:p>
    <w:p w14:paraId="30F8D9FE"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Para la sustentación de este cargo, el recurrente acepta íntegramente la base fáctica y probatoria establecida por el Tribunal, particularmente en cuanto tuvo por acreditado que Francisco Antonio Arenas Aragón nació el 17 de marzo de 1938; que solicitó su traslado a AFP Porvenir S.A. el 1.º de agosto de 1998, con efectos desde el 1.º de octubre del mismo año; que el Instituto de Seguros Sociales le reconoció pensión de vejez con causación desde el 17 de marzo de 1998; que falleció el 21 de marzo de 2000; y que, con posterioridad, Porvenir reconoció pensión de sobrevivientes a sus beneficiarios. Por consiguiente, la acusación se formula en el plano estrictamente jurídico, en plena conformidad con los supuestos de hecho acogidos en el fallo impugnado.</w:t>
      </w:r>
    </w:p>
    <w:p w14:paraId="55CFA244" w14:textId="77777777" w:rsidR="00DF6C29" w:rsidRPr="00DF6C29" w:rsidRDefault="00DF6C29" w:rsidP="00DF6C29">
      <w:pPr>
        <w:spacing w:after="0" w:line="240" w:lineRule="auto"/>
        <w:jc w:val="both"/>
        <w:rPr>
          <w:rFonts w:ascii="Arial" w:hAnsi="Arial" w:cs="Arial"/>
          <w:sz w:val="24"/>
          <w:szCs w:val="24"/>
        </w:rPr>
      </w:pPr>
    </w:p>
    <w:p w14:paraId="1990DF00"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El ad </w:t>
      </w:r>
      <w:proofErr w:type="spellStart"/>
      <w:r w:rsidRPr="00DF6C29">
        <w:rPr>
          <w:rFonts w:ascii="Arial" w:hAnsi="Arial" w:cs="Arial"/>
          <w:sz w:val="24"/>
          <w:szCs w:val="24"/>
        </w:rPr>
        <w:t>quem</w:t>
      </w:r>
      <w:proofErr w:type="spellEnd"/>
      <w:r w:rsidRPr="00DF6C29">
        <w:rPr>
          <w:rFonts w:ascii="Arial" w:hAnsi="Arial" w:cs="Arial"/>
          <w:sz w:val="24"/>
          <w:szCs w:val="24"/>
        </w:rPr>
        <w:t xml:space="preserve"> construyó su decisión sobre la premisa de que, por haber tenido el causante 55 años o más al 1.º de abril de 1994 y por encontrarse ya en situación pensional al momento del traslado, quedaba excluido del Régimen de Ahorro Individual con Solidaridad conforme al artículo 61 literal b) de la Ley 100 de 1993 y, a la vez, impedido para una afiliación eficaz al amparo del artículo 16 </w:t>
      </w:r>
      <w:proofErr w:type="spellStart"/>
      <w:r w:rsidRPr="00DF6C29">
        <w:rPr>
          <w:rFonts w:ascii="Arial" w:hAnsi="Arial" w:cs="Arial"/>
          <w:sz w:val="24"/>
          <w:szCs w:val="24"/>
        </w:rPr>
        <w:t>ibídem</w:t>
      </w:r>
      <w:proofErr w:type="spellEnd"/>
      <w:r w:rsidRPr="00DF6C29">
        <w:rPr>
          <w:rFonts w:ascii="Arial" w:hAnsi="Arial" w:cs="Arial"/>
          <w:sz w:val="24"/>
          <w:szCs w:val="24"/>
        </w:rPr>
        <w:t>. Sobre esa base concluyó que la afiliación válida era la del ISS y que la del RAIS debía tenerse por inválida. Esa conclusión no constituye una lectura del recurrente, sino una proposición expresa del propio fallo.</w:t>
      </w:r>
    </w:p>
    <w:p w14:paraId="65C7C3BC" w14:textId="77777777" w:rsidR="00DF6C29" w:rsidRPr="00DF6C29" w:rsidRDefault="00DF6C29" w:rsidP="00DF6C29">
      <w:pPr>
        <w:spacing w:after="0" w:line="240" w:lineRule="auto"/>
        <w:jc w:val="both"/>
        <w:rPr>
          <w:rFonts w:ascii="Arial" w:hAnsi="Arial" w:cs="Arial"/>
          <w:sz w:val="24"/>
          <w:szCs w:val="24"/>
        </w:rPr>
      </w:pPr>
    </w:p>
    <w:p w14:paraId="3BAD011A"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El desacierto jurídico del Tribunal consiste en que utilizó los artículos 16 y 61 literal b) de la Ley 100 de 1993 para resolver una cuestión distinta de la que esas disposiciones gobiernan en su contenido natural. Tales preceptos regulan, de una parte, la incompatibilidad entre regímenes y, de otra, la exclusión frente al RAIS para ciertos afiliados por razón de edad y densidad de cotización; sin embargo, el </w:t>
      </w:r>
      <w:r w:rsidRPr="00DF6C29">
        <w:rPr>
          <w:rFonts w:ascii="Arial" w:hAnsi="Arial" w:cs="Arial"/>
          <w:sz w:val="24"/>
          <w:szCs w:val="24"/>
        </w:rPr>
        <w:lastRenderedPageBreak/>
        <w:t>fallo los hizo operar para extraer una consecuencia adicional y más intensa: deshacer, con proyección retrospectiva, una afiliación ya admitida por la administradora privada y negar eficacia al reconocimiento de la pensión de sobrevivientes que de ella se derivó.</w:t>
      </w:r>
    </w:p>
    <w:p w14:paraId="77101B4F" w14:textId="77777777" w:rsidR="00DF6C29" w:rsidRPr="00DF6C29" w:rsidRDefault="00DF6C29" w:rsidP="00DF6C29">
      <w:pPr>
        <w:spacing w:after="0" w:line="240" w:lineRule="auto"/>
        <w:jc w:val="both"/>
        <w:rPr>
          <w:rFonts w:ascii="Arial" w:hAnsi="Arial" w:cs="Arial"/>
          <w:sz w:val="24"/>
          <w:szCs w:val="24"/>
        </w:rPr>
      </w:pPr>
    </w:p>
    <w:p w14:paraId="3FF48FDF"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En otros términos, el Tribunal tomó reglas dirigidas a delimitar quiénes podían o no afiliarse o permanecer válidamente en el RAIS y las proyectó sobre una hipótesis jurídica posterior y diversa, esto es, la de una afiliación ya recibida por la AFP y un reconocimiento prestacional ulteriormente emitido dentro del sistema. Con esa operación terminó atribuyendo a los artículos 16 y 61 literal b) una eficacia invalidante total frente a una situación que esas disposiciones no disciplinan directamente en esos términos.</w:t>
      </w:r>
    </w:p>
    <w:p w14:paraId="244046B0" w14:textId="77777777" w:rsidR="00DF6C29" w:rsidRPr="00DF6C29" w:rsidRDefault="00DF6C29" w:rsidP="00DF6C29">
      <w:pPr>
        <w:spacing w:after="0" w:line="240" w:lineRule="auto"/>
        <w:jc w:val="both"/>
        <w:rPr>
          <w:rFonts w:ascii="Arial" w:hAnsi="Arial" w:cs="Arial"/>
          <w:sz w:val="24"/>
          <w:szCs w:val="24"/>
        </w:rPr>
      </w:pPr>
    </w:p>
    <w:p w14:paraId="50E49E43"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Ese desbordamiento del ámbito normativo de tales preceptos se advierte todavía con mayor claridad al examinar el uso complementario que hizo el Tribunal del Decreto 3995 de 2008. En la propia sentencia se reseña que dicha normativa modificó la regla anterior sobre múltiple afiliación y que su aplicación se circunscribe a las personas que se encontraban en esa situación al 31 de diciembre de 2007; pese a ello, el fallo la empleó como apoyo argumentativo en un litigio cuyos hechos estructurales se consolidaron entre 1998 y 2000, es decir, mucho antes de ese marco temporal.</w:t>
      </w:r>
    </w:p>
    <w:p w14:paraId="6D983F63" w14:textId="77777777" w:rsidR="00DF6C29" w:rsidRPr="00DF6C29" w:rsidRDefault="00DF6C29" w:rsidP="00DF6C29">
      <w:pPr>
        <w:spacing w:after="0" w:line="240" w:lineRule="auto"/>
        <w:jc w:val="both"/>
        <w:rPr>
          <w:rFonts w:ascii="Arial" w:hAnsi="Arial" w:cs="Arial"/>
          <w:sz w:val="24"/>
          <w:szCs w:val="24"/>
        </w:rPr>
      </w:pPr>
    </w:p>
    <w:p w14:paraId="04C4AB02"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De modo que, aun cuando el Tribunal reconoció que el Decreto 3995 de 2008 fue concebido para resolver escenarios de múltiple afiliación existentes a 31 de diciembre de 2007, lo utilizó para robustecer la tesis de invalidez de una afiliación ocurrida en 1998 y de una prestación reconocida en 2000. Ese razonamiento confirma que el ad </w:t>
      </w:r>
      <w:proofErr w:type="spellStart"/>
      <w:r w:rsidRPr="00DF6C29">
        <w:rPr>
          <w:rFonts w:ascii="Arial" w:hAnsi="Arial" w:cs="Arial"/>
          <w:sz w:val="24"/>
          <w:szCs w:val="24"/>
        </w:rPr>
        <w:t>quem</w:t>
      </w:r>
      <w:proofErr w:type="spellEnd"/>
      <w:r w:rsidRPr="00DF6C29">
        <w:rPr>
          <w:rFonts w:ascii="Arial" w:hAnsi="Arial" w:cs="Arial"/>
          <w:sz w:val="24"/>
          <w:szCs w:val="24"/>
        </w:rPr>
        <w:t xml:space="preserve"> no se limitó a aplicar los artículos 16 y 61 literal b) de la Ley 100 de 1993 en su radio propio, sino que los hizo concurrir, junto con una regulación posterior y temporalmente ajena al caso, para sustentar la desaparición jurídica de todos los efectos producidos por la afiliación aceptada por Porvenir.</w:t>
      </w:r>
    </w:p>
    <w:p w14:paraId="07E130E4" w14:textId="77777777" w:rsidR="00DF6C29" w:rsidRPr="00DF6C29" w:rsidRDefault="00DF6C29" w:rsidP="00DF6C29">
      <w:pPr>
        <w:spacing w:after="0" w:line="240" w:lineRule="auto"/>
        <w:jc w:val="both"/>
        <w:rPr>
          <w:rFonts w:ascii="Arial" w:hAnsi="Arial" w:cs="Arial"/>
          <w:sz w:val="24"/>
          <w:szCs w:val="24"/>
        </w:rPr>
      </w:pPr>
    </w:p>
    <w:p w14:paraId="651D410A"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No se discute en este cargo que el Tribunal hubiera estimado configurada una incompatibilidad normativa o una restricción legal frente al RAIS. Lo que se le reprocha es haber empleado esas disposiciones para derivar, como consecuencia necesaria, la pérdida de eficacia de la afiliación aceptada por la AFP y la exclusión total de obligación pensional a su cargo frente a una prestación ya reconocida. Ese paso adicional es el que configura la aplicación indebida, pues supone servirse de normas llamadas a regular la pertenencia al régimen para resolver, con efecto demolitorio, la suerte jurídica de una afiliación perfeccionada y de un reconocimiento prestacional ulterior.</w:t>
      </w:r>
    </w:p>
    <w:p w14:paraId="2E550EE6" w14:textId="77777777" w:rsidR="00DF6C29" w:rsidRPr="00DF6C29" w:rsidRDefault="00DF6C29" w:rsidP="00DF6C29">
      <w:pPr>
        <w:spacing w:after="0" w:line="240" w:lineRule="auto"/>
        <w:jc w:val="both"/>
        <w:rPr>
          <w:rFonts w:ascii="Arial" w:hAnsi="Arial" w:cs="Arial"/>
          <w:sz w:val="24"/>
          <w:szCs w:val="24"/>
        </w:rPr>
      </w:pPr>
    </w:p>
    <w:p w14:paraId="10296779"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La impropiedad del razonamiento se hace aún más evidente porque la sentencia no se detuvo en afirmar una mera restricción de afiliación, sino que avanzó hasta declarar que Porvenir carecía por completo de obligación frente a la pensión de sobrevivientes y que, por ello, procedía revertir su reconocimiento. De ese modo, el Tribunal no solo resolvió un problema de pertenencia al régimen, sino que hizo </w:t>
      </w:r>
      <w:r w:rsidRPr="00DF6C29">
        <w:rPr>
          <w:rFonts w:ascii="Arial" w:hAnsi="Arial" w:cs="Arial"/>
          <w:sz w:val="24"/>
          <w:szCs w:val="24"/>
        </w:rPr>
        <w:lastRenderedPageBreak/>
        <w:t>recaer sobre los artículos 16 y 61 literal b) de la Ley 100 de 1993 consecuencias jurídicas que exceden la función normativa inmediata de esos preceptos.</w:t>
      </w:r>
    </w:p>
    <w:p w14:paraId="1F733F3C" w14:textId="77777777" w:rsidR="00DF6C29" w:rsidRPr="00DF6C29" w:rsidRDefault="00DF6C29" w:rsidP="00DF6C29">
      <w:pPr>
        <w:spacing w:after="0" w:line="240" w:lineRule="auto"/>
        <w:jc w:val="both"/>
        <w:rPr>
          <w:rFonts w:ascii="Arial" w:hAnsi="Arial" w:cs="Arial"/>
          <w:sz w:val="24"/>
          <w:szCs w:val="24"/>
        </w:rPr>
      </w:pPr>
    </w:p>
    <w:p w14:paraId="234DB611"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En consecuencia, la sentencia incurrió en aplicación indebida de los artículos 16 y 61 literal b) de la Ley 100 de 1993, al servirse de ellos para sustentar una solución que no corresponde al ámbito propio de tales disposiciones, consistente en privar de eficacia la afiliación a Porvenir y excluir toda obligación prestacional derivada de ella.</w:t>
      </w:r>
    </w:p>
    <w:p w14:paraId="774E78C6" w14:textId="77777777" w:rsidR="00DF6C29" w:rsidRPr="00DF6C29" w:rsidRDefault="00DF6C29" w:rsidP="00DF6C29">
      <w:pPr>
        <w:spacing w:after="0" w:line="240" w:lineRule="auto"/>
        <w:jc w:val="both"/>
        <w:rPr>
          <w:rFonts w:ascii="Arial" w:hAnsi="Arial" w:cs="Arial"/>
          <w:sz w:val="24"/>
          <w:szCs w:val="24"/>
        </w:rPr>
      </w:pPr>
    </w:p>
    <w:p w14:paraId="187C3287" w14:textId="53E126DA"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C) </w:t>
      </w:r>
      <w:r w:rsidR="00DF6C29" w:rsidRPr="00E45319">
        <w:rPr>
          <w:rFonts w:ascii="Arial" w:hAnsi="Arial" w:cs="Arial"/>
          <w:b/>
          <w:bCs/>
          <w:sz w:val="24"/>
          <w:szCs w:val="24"/>
        </w:rPr>
        <w:t>CONCLUSIÓN DEL CARGO PRIMERO</w:t>
      </w:r>
    </w:p>
    <w:p w14:paraId="6FAB1C6A" w14:textId="77777777" w:rsidR="00DF6C29" w:rsidRPr="00DF6C29" w:rsidRDefault="00DF6C29" w:rsidP="00DF6C29">
      <w:pPr>
        <w:spacing w:after="0" w:line="240" w:lineRule="auto"/>
        <w:jc w:val="both"/>
        <w:rPr>
          <w:rFonts w:ascii="Arial" w:hAnsi="Arial" w:cs="Arial"/>
          <w:sz w:val="24"/>
          <w:szCs w:val="24"/>
        </w:rPr>
      </w:pPr>
    </w:p>
    <w:p w14:paraId="126DF144"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Por lo expuesto, solicito a la Honorable Corte casar totalmente la sentencia impugnada y, en sede de instancia, confirmar íntegramente la sentencia proferida por el Juzgado Primero Laboral del Circuito de Tunja el 25 de noviembre de 2024.</w:t>
      </w:r>
    </w:p>
    <w:p w14:paraId="1ECD80C4" w14:textId="77777777" w:rsidR="00DF6C29" w:rsidRPr="00DF6C29" w:rsidRDefault="00DF6C29" w:rsidP="00DF6C29">
      <w:pPr>
        <w:spacing w:after="0" w:line="240" w:lineRule="auto"/>
        <w:jc w:val="both"/>
        <w:rPr>
          <w:rFonts w:ascii="Arial" w:hAnsi="Arial" w:cs="Arial"/>
          <w:sz w:val="24"/>
          <w:szCs w:val="24"/>
        </w:rPr>
      </w:pPr>
    </w:p>
    <w:p w14:paraId="4CD1A87C" w14:textId="6A10B7C2"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3.3.2</w:t>
      </w:r>
      <w:r w:rsidR="00DF6C29" w:rsidRPr="00E45319">
        <w:rPr>
          <w:rFonts w:ascii="Arial" w:hAnsi="Arial" w:cs="Arial"/>
          <w:b/>
          <w:bCs/>
          <w:sz w:val="24"/>
          <w:szCs w:val="24"/>
        </w:rPr>
        <w:t xml:space="preserve"> CARGO SEGUNDO</w:t>
      </w:r>
    </w:p>
    <w:p w14:paraId="22396940" w14:textId="77777777" w:rsidR="00DF6C29" w:rsidRPr="00DF6C29" w:rsidRDefault="00DF6C29" w:rsidP="00DF6C29">
      <w:pPr>
        <w:spacing w:after="0" w:line="240" w:lineRule="auto"/>
        <w:jc w:val="both"/>
        <w:rPr>
          <w:rFonts w:ascii="Arial" w:hAnsi="Arial" w:cs="Arial"/>
          <w:sz w:val="24"/>
          <w:szCs w:val="24"/>
        </w:rPr>
      </w:pPr>
    </w:p>
    <w:p w14:paraId="0F878BAD" w14:textId="603BED06"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A) </w:t>
      </w:r>
      <w:r w:rsidR="00DF6C29" w:rsidRPr="00E45319">
        <w:rPr>
          <w:rFonts w:ascii="Arial" w:hAnsi="Arial" w:cs="Arial"/>
          <w:b/>
          <w:bCs/>
          <w:sz w:val="24"/>
          <w:szCs w:val="24"/>
        </w:rPr>
        <w:t>ENUNCIACIÓN</w:t>
      </w:r>
      <w:r>
        <w:rPr>
          <w:rFonts w:ascii="Arial" w:hAnsi="Arial" w:cs="Arial"/>
          <w:b/>
          <w:bCs/>
          <w:sz w:val="24"/>
          <w:szCs w:val="24"/>
        </w:rPr>
        <w:t>:</w:t>
      </w:r>
    </w:p>
    <w:p w14:paraId="5E063401" w14:textId="77777777" w:rsidR="00DF6C29" w:rsidRPr="00DF6C29" w:rsidRDefault="00DF6C29" w:rsidP="00DF6C29">
      <w:pPr>
        <w:spacing w:after="0" w:line="240" w:lineRule="auto"/>
        <w:jc w:val="both"/>
        <w:rPr>
          <w:rFonts w:ascii="Arial" w:hAnsi="Arial" w:cs="Arial"/>
          <w:sz w:val="24"/>
          <w:szCs w:val="24"/>
        </w:rPr>
      </w:pPr>
    </w:p>
    <w:p w14:paraId="2F05E122"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Subsidiariamente, acuso la sentencia impugnada por la causal primera de casación, por la vía indirecta, en la modalidad de aplicación indebida del artículo 2313 del Código Civil, como consecuencia de errores de hecho manifiestos en la apreciación de la prueba calificada.</w:t>
      </w:r>
    </w:p>
    <w:p w14:paraId="0F9A95DE" w14:textId="77777777" w:rsidR="00DF6C29" w:rsidRPr="00DF6C29" w:rsidRDefault="00DF6C29" w:rsidP="00DF6C29">
      <w:pPr>
        <w:spacing w:after="0" w:line="240" w:lineRule="auto"/>
        <w:jc w:val="both"/>
        <w:rPr>
          <w:rFonts w:ascii="Arial" w:hAnsi="Arial" w:cs="Arial"/>
          <w:sz w:val="24"/>
          <w:szCs w:val="24"/>
        </w:rPr>
      </w:pPr>
    </w:p>
    <w:p w14:paraId="38742830" w14:textId="77777777" w:rsidR="00DF6C29" w:rsidRPr="00E45319" w:rsidRDefault="00DF6C29" w:rsidP="00DF6C29">
      <w:pPr>
        <w:spacing w:after="0" w:line="240" w:lineRule="auto"/>
        <w:jc w:val="both"/>
        <w:rPr>
          <w:rFonts w:ascii="Arial" w:hAnsi="Arial" w:cs="Arial"/>
          <w:b/>
          <w:bCs/>
          <w:sz w:val="24"/>
          <w:szCs w:val="24"/>
        </w:rPr>
      </w:pPr>
      <w:r w:rsidRPr="00E45319">
        <w:rPr>
          <w:rFonts w:ascii="Arial" w:hAnsi="Arial" w:cs="Arial"/>
          <w:b/>
          <w:bCs/>
          <w:sz w:val="24"/>
          <w:szCs w:val="24"/>
        </w:rPr>
        <w:t>ERRORES DE HECHO</w:t>
      </w:r>
    </w:p>
    <w:p w14:paraId="5B36784D" w14:textId="77777777" w:rsidR="00DF6C29" w:rsidRPr="00DF6C29" w:rsidRDefault="00DF6C29" w:rsidP="00DF6C29">
      <w:pPr>
        <w:spacing w:after="0" w:line="240" w:lineRule="auto"/>
        <w:jc w:val="both"/>
        <w:rPr>
          <w:rFonts w:ascii="Arial" w:hAnsi="Arial" w:cs="Arial"/>
          <w:sz w:val="24"/>
          <w:szCs w:val="24"/>
        </w:rPr>
      </w:pPr>
    </w:p>
    <w:p w14:paraId="53B20B05" w14:textId="77777777" w:rsidR="00DF6C29" w:rsidRPr="00DF6C29" w:rsidRDefault="00DF6C29" w:rsidP="00DF6C29">
      <w:pPr>
        <w:spacing w:after="0" w:line="240" w:lineRule="auto"/>
        <w:jc w:val="both"/>
        <w:rPr>
          <w:rFonts w:ascii="Arial" w:hAnsi="Arial" w:cs="Arial"/>
          <w:sz w:val="24"/>
          <w:szCs w:val="24"/>
        </w:rPr>
      </w:pPr>
      <w:r w:rsidRPr="00E45319">
        <w:rPr>
          <w:rFonts w:ascii="Arial" w:hAnsi="Arial" w:cs="Arial"/>
          <w:b/>
          <w:bCs/>
          <w:sz w:val="24"/>
          <w:szCs w:val="24"/>
        </w:rPr>
        <w:t>PRIMERO</w:t>
      </w:r>
      <w:r w:rsidRPr="00DF6C29">
        <w:rPr>
          <w:rFonts w:ascii="Arial" w:hAnsi="Arial" w:cs="Arial"/>
          <w:sz w:val="24"/>
          <w:szCs w:val="24"/>
        </w:rPr>
        <w:t>: Dar por demostrado, sin estarlo, que AFP Porvenir S.A. fue la entidad que pagó las sumas cuya restitución ordenó el Tribunal.</w:t>
      </w:r>
    </w:p>
    <w:p w14:paraId="705DB1FB" w14:textId="77777777" w:rsidR="00DF6C29" w:rsidRPr="00DF6C29" w:rsidRDefault="00DF6C29" w:rsidP="00DF6C29">
      <w:pPr>
        <w:spacing w:after="0" w:line="240" w:lineRule="auto"/>
        <w:jc w:val="both"/>
        <w:rPr>
          <w:rFonts w:ascii="Arial" w:hAnsi="Arial" w:cs="Arial"/>
          <w:sz w:val="24"/>
          <w:szCs w:val="24"/>
        </w:rPr>
      </w:pPr>
    </w:p>
    <w:p w14:paraId="5581CAFD" w14:textId="77777777" w:rsidR="00DF6C29" w:rsidRPr="00DF6C29" w:rsidRDefault="00DF6C29" w:rsidP="00DF6C29">
      <w:pPr>
        <w:spacing w:after="0" w:line="240" w:lineRule="auto"/>
        <w:jc w:val="both"/>
        <w:rPr>
          <w:rFonts w:ascii="Arial" w:hAnsi="Arial" w:cs="Arial"/>
          <w:sz w:val="24"/>
          <w:szCs w:val="24"/>
        </w:rPr>
      </w:pPr>
      <w:r w:rsidRPr="00E45319">
        <w:rPr>
          <w:rFonts w:ascii="Arial" w:hAnsi="Arial" w:cs="Arial"/>
          <w:b/>
          <w:bCs/>
          <w:sz w:val="24"/>
          <w:szCs w:val="24"/>
        </w:rPr>
        <w:t>SEGUNDO</w:t>
      </w:r>
      <w:r w:rsidRPr="00DF6C29">
        <w:rPr>
          <w:rFonts w:ascii="Arial" w:hAnsi="Arial" w:cs="Arial"/>
          <w:sz w:val="24"/>
          <w:szCs w:val="24"/>
        </w:rPr>
        <w:t>: No dar por demostrado, estándolo, que la prestación reconocida en el ámbito del RAIS fue asumida y pagada, en ejecución de la renta vitalicia, por Seguros de Vida Alfa S.A.</w:t>
      </w:r>
    </w:p>
    <w:p w14:paraId="6F553FD2" w14:textId="77777777" w:rsidR="00DF6C29" w:rsidRPr="00DF6C29" w:rsidRDefault="00DF6C29" w:rsidP="00DF6C29">
      <w:pPr>
        <w:spacing w:after="0" w:line="240" w:lineRule="auto"/>
        <w:jc w:val="both"/>
        <w:rPr>
          <w:rFonts w:ascii="Arial" w:hAnsi="Arial" w:cs="Arial"/>
          <w:sz w:val="24"/>
          <w:szCs w:val="24"/>
        </w:rPr>
      </w:pPr>
    </w:p>
    <w:p w14:paraId="347E5B6B" w14:textId="77777777" w:rsidR="00DF6C29" w:rsidRPr="00DF6C29" w:rsidRDefault="00DF6C29" w:rsidP="00DF6C29">
      <w:pPr>
        <w:spacing w:after="0" w:line="240" w:lineRule="auto"/>
        <w:jc w:val="both"/>
        <w:rPr>
          <w:rFonts w:ascii="Arial" w:hAnsi="Arial" w:cs="Arial"/>
          <w:sz w:val="24"/>
          <w:szCs w:val="24"/>
        </w:rPr>
      </w:pPr>
      <w:r w:rsidRPr="00E45319">
        <w:rPr>
          <w:rFonts w:ascii="Arial" w:hAnsi="Arial" w:cs="Arial"/>
          <w:b/>
          <w:bCs/>
          <w:sz w:val="24"/>
          <w:szCs w:val="24"/>
        </w:rPr>
        <w:t>TERCERO:</w:t>
      </w:r>
      <w:r w:rsidRPr="00DF6C29">
        <w:rPr>
          <w:rFonts w:ascii="Arial" w:hAnsi="Arial" w:cs="Arial"/>
          <w:sz w:val="24"/>
          <w:szCs w:val="24"/>
        </w:rPr>
        <w:t xml:space="preserve"> Dar por demostrado, sin estarlo, que existía certeza probatoria suficiente sobre el monto total de las mesadas cuya devolución se ordenó a favor de Porvenir.</w:t>
      </w:r>
    </w:p>
    <w:p w14:paraId="6E85E2B9" w14:textId="77777777" w:rsidR="00DF6C29" w:rsidRPr="00DF6C29" w:rsidRDefault="00DF6C29" w:rsidP="00DF6C29">
      <w:pPr>
        <w:spacing w:after="0" w:line="240" w:lineRule="auto"/>
        <w:jc w:val="both"/>
        <w:rPr>
          <w:rFonts w:ascii="Arial" w:hAnsi="Arial" w:cs="Arial"/>
          <w:sz w:val="24"/>
          <w:szCs w:val="24"/>
        </w:rPr>
      </w:pPr>
    </w:p>
    <w:p w14:paraId="2157BEA8" w14:textId="77777777" w:rsidR="00DF6C29" w:rsidRPr="00DF6C29" w:rsidRDefault="00DF6C29" w:rsidP="00DF6C29">
      <w:pPr>
        <w:spacing w:after="0" w:line="240" w:lineRule="auto"/>
        <w:jc w:val="both"/>
        <w:rPr>
          <w:rFonts w:ascii="Arial" w:hAnsi="Arial" w:cs="Arial"/>
          <w:sz w:val="24"/>
          <w:szCs w:val="24"/>
        </w:rPr>
      </w:pPr>
      <w:r w:rsidRPr="00E45319">
        <w:rPr>
          <w:rFonts w:ascii="Arial" w:hAnsi="Arial" w:cs="Arial"/>
          <w:b/>
          <w:bCs/>
          <w:sz w:val="24"/>
          <w:szCs w:val="24"/>
        </w:rPr>
        <w:t>CUARTO:</w:t>
      </w:r>
      <w:r w:rsidRPr="00DF6C29">
        <w:rPr>
          <w:rFonts w:ascii="Arial" w:hAnsi="Arial" w:cs="Arial"/>
          <w:sz w:val="24"/>
          <w:szCs w:val="24"/>
        </w:rPr>
        <w:t xml:space="preserve"> No dar por demostrado, estándolo, que solo existía prueba del valor de mesadas canceladas a Francisco Javier Arenas Fonseca a partir de marzo de 2006, ignorándose el monto pagado en su momento a Ana Lucila Fonseca de Arenas.</w:t>
      </w:r>
    </w:p>
    <w:p w14:paraId="3E39F8CA" w14:textId="77777777" w:rsidR="00DF6C29" w:rsidRPr="00DF6C29" w:rsidRDefault="00DF6C29" w:rsidP="00DF6C29">
      <w:pPr>
        <w:spacing w:after="0" w:line="240" w:lineRule="auto"/>
        <w:jc w:val="both"/>
        <w:rPr>
          <w:rFonts w:ascii="Arial" w:hAnsi="Arial" w:cs="Arial"/>
          <w:sz w:val="24"/>
          <w:szCs w:val="24"/>
        </w:rPr>
      </w:pPr>
    </w:p>
    <w:p w14:paraId="510A3B58" w14:textId="77777777" w:rsidR="00DF6C29" w:rsidRPr="00E45319" w:rsidRDefault="00DF6C29" w:rsidP="00DF6C29">
      <w:pPr>
        <w:spacing w:after="0" w:line="240" w:lineRule="auto"/>
        <w:jc w:val="both"/>
        <w:rPr>
          <w:rFonts w:ascii="Arial" w:hAnsi="Arial" w:cs="Arial"/>
          <w:b/>
          <w:bCs/>
          <w:sz w:val="24"/>
          <w:szCs w:val="24"/>
        </w:rPr>
      </w:pPr>
      <w:r w:rsidRPr="00E45319">
        <w:rPr>
          <w:rFonts w:ascii="Arial" w:hAnsi="Arial" w:cs="Arial"/>
          <w:b/>
          <w:bCs/>
          <w:sz w:val="24"/>
          <w:szCs w:val="24"/>
        </w:rPr>
        <w:t>PRUEBAS CALIFICADAS INDEBIDAMENTE APRECIADAS</w:t>
      </w:r>
    </w:p>
    <w:p w14:paraId="10937045" w14:textId="77777777" w:rsidR="00DF6C29" w:rsidRPr="00DF6C29" w:rsidRDefault="00DF6C29" w:rsidP="00DF6C29">
      <w:pPr>
        <w:spacing w:after="0" w:line="240" w:lineRule="auto"/>
        <w:jc w:val="both"/>
        <w:rPr>
          <w:rFonts w:ascii="Arial" w:hAnsi="Arial" w:cs="Arial"/>
          <w:sz w:val="24"/>
          <w:szCs w:val="24"/>
        </w:rPr>
      </w:pPr>
    </w:p>
    <w:p w14:paraId="0346BD9E"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a) La comunicación del 9 de agosto de 2000, por medio de la cual AFP Porvenir S.A. informó el reconocimiento de la pensión de sobrevivientes a Ana Lucila Fonseca de Arenas y a sus hijos Francisco Javier y Carlos Fernando Arenas Fonseca.</w:t>
      </w:r>
    </w:p>
    <w:p w14:paraId="4BE512DD" w14:textId="77777777" w:rsidR="00DF6C29" w:rsidRPr="00DF6C29" w:rsidRDefault="00DF6C29" w:rsidP="00DF6C29">
      <w:pPr>
        <w:spacing w:after="0" w:line="240" w:lineRule="auto"/>
        <w:jc w:val="both"/>
        <w:rPr>
          <w:rFonts w:ascii="Arial" w:hAnsi="Arial" w:cs="Arial"/>
          <w:sz w:val="24"/>
          <w:szCs w:val="24"/>
        </w:rPr>
      </w:pPr>
    </w:p>
    <w:p w14:paraId="2E119888"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b) La documental relativa a la renta vitalicia contratada en agosto de 2000 con Seguros de Vida Alfa S.A., de la cual surge que dicha aseguradora asumió el pago de la prestación.</w:t>
      </w:r>
    </w:p>
    <w:p w14:paraId="741567A1" w14:textId="77777777" w:rsidR="00DF6C29" w:rsidRPr="00DF6C29" w:rsidRDefault="00DF6C29" w:rsidP="00DF6C29">
      <w:pPr>
        <w:spacing w:after="0" w:line="240" w:lineRule="auto"/>
        <w:jc w:val="both"/>
        <w:rPr>
          <w:rFonts w:ascii="Arial" w:hAnsi="Arial" w:cs="Arial"/>
          <w:sz w:val="24"/>
          <w:szCs w:val="24"/>
        </w:rPr>
      </w:pPr>
    </w:p>
    <w:p w14:paraId="74357D9A"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c) La documental demostrativa del valor de las mesadas canceladas a Francisco Javier Arenas Fonseca a partir de marzo de 2006, única prueba específica de pago a la que aludió el Tribunal para efectos del reintegro.</w:t>
      </w:r>
    </w:p>
    <w:p w14:paraId="43206F5C" w14:textId="77777777" w:rsidR="00DF6C29" w:rsidRPr="00DF6C29" w:rsidRDefault="00DF6C29" w:rsidP="00DF6C29">
      <w:pPr>
        <w:spacing w:after="0" w:line="240" w:lineRule="auto"/>
        <w:jc w:val="both"/>
        <w:rPr>
          <w:rFonts w:ascii="Arial" w:hAnsi="Arial" w:cs="Arial"/>
          <w:sz w:val="24"/>
          <w:szCs w:val="24"/>
        </w:rPr>
      </w:pPr>
    </w:p>
    <w:p w14:paraId="4E5D0459" w14:textId="733FB96C"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B) </w:t>
      </w:r>
      <w:r w:rsidR="00DF6C29" w:rsidRPr="00E45319">
        <w:rPr>
          <w:rFonts w:ascii="Arial" w:hAnsi="Arial" w:cs="Arial"/>
          <w:b/>
          <w:bCs/>
          <w:sz w:val="24"/>
          <w:szCs w:val="24"/>
        </w:rPr>
        <w:t>DEMOSTRACIÓN</w:t>
      </w:r>
      <w:r>
        <w:rPr>
          <w:rFonts w:ascii="Arial" w:hAnsi="Arial" w:cs="Arial"/>
          <w:b/>
          <w:bCs/>
          <w:sz w:val="24"/>
          <w:szCs w:val="24"/>
        </w:rPr>
        <w:t>:</w:t>
      </w:r>
    </w:p>
    <w:p w14:paraId="617CA1B2" w14:textId="77777777" w:rsidR="00DF6C29" w:rsidRPr="00DF6C29" w:rsidRDefault="00DF6C29" w:rsidP="00DF6C29">
      <w:pPr>
        <w:spacing w:after="0" w:line="240" w:lineRule="auto"/>
        <w:jc w:val="both"/>
        <w:rPr>
          <w:rFonts w:ascii="Arial" w:hAnsi="Arial" w:cs="Arial"/>
          <w:sz w:val="24"/>
          <w:szCs w:val="24"/>
        </w:rPr>
      </w:pPr>
    </w:p>
    <w:p w14:paraId="055421EE"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El Tribunal ordenó a Francisco Javier Arenas Fonseca, a Carlos Fernando Arenas Fonseca, como personas naturales y en calidad de herederos determinados de Ana Lucila Fonseca de Arenas, así como a los herederos indeterminados de esta, reintegrar a AFP Porvenir S.A. los montos recibidos como mesadas de pensión de sobrevivientes, con intereses de mora desde la ejecutoria de la sentencia.</w:t>
      </w:r>
    </w:p>
    <w:p w14:paraId="07A64908" w14:textId="77777777" w:rsidR="00DF6C29" w:rsidRPr="00DF6C29" w:rsidRDefault="00DF6C29" w:rsidP="00DF6C29">
      <w:pPr>
        <w:spacing w:after="0" w:line="240" w:lineRule="auto"/>
        <w:jc w:val="both"/>
        <w:rPr>
          <w:rFonts w:ascii="Arial" w:hAnsi="Arial" w:cs="Arial"/>
          <w:sz w:val="24"/>
          <w:szCs w:val="24"/>
        </w:rPr>
      </w:pPr>
    </w:p>
    <w:p w14:paraId="114C79C5"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Para arribar a esa conclusión acudió a la figura del pago de lo no debido. Sin embargo, para que jurídicamente proceda la repetición prevista en el artículo 2313 del Código Civil, era indispensable que apareciera demostrada, con apoyo en prueba calificada, una premisa mínima: que Porvenir fue quien realizó los pagos cuya devolución reclama. Ese supuesto fáctico no quedó acreditado en el proceso y, no </w:t>
      </w:r>
      <w:proofErr w:type="gramStart"/>
      <w:r w:rsidRPr="00DF6C29">
        <w:rPr>
          <w:rFonts w:ascii="Arial" w:hAnsi="Arial" w:cs="Arial"/>
          <w:sz w:val="24"/>
          <w:szCs w:val="24"/>
        </w:rPr>
        <w:t>obstante</w:t>
      </w:r>
      <w:proofErr w:type="gramEnd"/>
      <w:r w:rsidRPr="00DF6C29">
        <w:rPr>
          <w:rFonts w:ascii="Arial" w:hAnsi="Arial" w:cs="Arial"/>
          <w:sz w:val="24"/>
          <w:szCs w:val="24"/>
        </w:rPr>
        <w:t xml:space="preserve"> ello, el Tribunal lo dio por establecido.</w:t>
      </w:r>
    </w:p>
    <w:p w14:paraId="3DE84771" w14:textId="77777777" w:rsidR="00DF6C29" w:rsidRPr="00DF6C29" w:rsidRDefault="00DF6C29" w:rsidP="00DF6C29">
      <w:pPr>
        <w:spacing w:after="0" w:line="240" w:lineRule="auto"/>
        <w:jc w:val="both"/>
        <w:rPr>
          <w:rFonts w:ascii="Arial" w:hAnsi="Arial" w:cs="Arial"/>
          <w:sz w:val="24"/>
          <w:szCs w:val="24"/>
        </w:rPr>
      </w:pPr>
    </w:p>
    <w:p w14:paraId="1309A1D4"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En efecto, la prueba documental muestra que en agosto de 2000 se contrató renta vitalicia con Seguros de Vida Alfa S.A. y que dicha aseguradora asumió el pago de la prestación. De manera que, aun cuando Porvenir comunicó el reconocimiento del derecho pensional, de ello no se sigue, sin más, que fuera la pagadora de la totalidad de las mesadas cuya restitución se ordenó. El yerro del fallo consistió en equiparar reconocimiento pensional con pago efectivo de todas las mesadas, sin que la documental habilitara una conclusión de ese alcance.</w:t>
      </w:r>
    </w:p>
    <w:p w14:paraId="73920B71" w14:textId="77777777" w:rsidR="00DF6C29" w:rsidRPr="00DF6C29" w:rsidRDefault="00DF6C29" w:rsidP="00DF6C29">
      <w:pPr>
        <w:spacing w:after="0" w:line="240" w:lineRule="auto"/>
        <w:jc w:val="both"/>
        <w:rPr>
          <w:rFonts w:ascii="Arial" w:hAnsi="Arial" w:cs="Arial"/>
          <w:sz w:val="24"/>
          <w:szCs w:val="24"/>
        </w:rPr>
      </w:pPr>
    </w:p>
    <w:p w14:paraId="44CDEE8E"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La equivocación se hace más visible porque el propio Tribunal admitió que no podía pronunciarse sobre la póliza de renta vitalicia por no haber sido convocada al proceso Seguros de Vida Alfa S.A.; sin embargo, al mismo tiempo, dio por sentado que la devolución debía hacerse a favor de Porvenir, a pesar de que la prueba documental revelaba la intervención de esa aseguradora en la asunción y pago de la prestación. Esa inferencia fáctica resulta ostensiblemente desacertada.</w:t>
      </w:r>
    </w:p>
    <w:p w14:paraId="2B4584D8" w14:textId="77777777" w:rsidR="00DF6C29" w:rsidRPr="00DF6C29" w:rsidRDefault="00DF6C29" w:rsidP="00DF6C29">
      <w:pPr>
        <w:spacing w:after="0" w:line="240" w:lineRule="auto"/>
        <w:jc w:val="both"/>
        <w:rPr>
          <w:rFonts w:ascii="Arial" w:hAnsi="Arial" w:cs="Arial"/>
          <w:sz w:val="24"/>
          <w:szCs w:val="24"/>
        </w:rPr>
      </w:pPr>
    </w:p>
    <w:p w14:paraId="25062258"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De otra parte, el sentenciador reconoció que solo obraba prueba del valor de mesadas canceladas a Francisco Javier Arenas Fonseca a partir de marzo de 2006 y que se ignoraba el monto de lo cancelado a Ana Lucila Fonseca de Arenas. Pese a esa explícita insuficiencia probatoria, terminó imponiendo una condena general de reintegro respecto de todos los montos recibidos por los beneficiarios y sus herederos. Es decir, el fallo pasó de una prueba parcial y limitada a una conclusión total y abarcadora, sin soporte documental suficiente.</w:t>
      </w:r>
    </w:p>
    <w:p w14:paraId="77605591" w14:textId="77777777" w:rsidR="00DF6C29" w:rsidRPr="00DF6C29" w:rsidRDefault="00DF6C29" w:rsidP="00DF6C29">
      <w:pPr>
        <w:spacing w:after="0" w:line="240" w:lineRule="auto"/>
        <w:jc w:val="both"/>
        <w:rPr>
          <w:rFonts w:ascii="Arial" w:hAnsi="Arial" w:cs="Arial"/>
          <w:sz w:val="24"/>
          <w:szCs w:val="24"/>
        </w:rPr>
      </w:pPr>
    </w:p>
    <w:p w14:paraId="45BFA671"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lastRenderedPageBreak/>
        <w:t>Así, la decisión atacada incurrió en un doble desacierto fáctico: por una parte, supuso acreditado que Porvenir fue la pagadora de las sumas cuya devolución persigue, pese a que la documental del proceso mostraba la intervención de Seguros de Vida Alfa S.A. como aseguradora que asumió el pago de la renta vitalicia; y por otra, tuvo por demostrado un monto global repetible, aun cuando solo existía prueba concreta de pagos hechos a uno de los beneficiarios y desde una fecha determinada.</w:t>
      </w:r>
    </w:p>
    <w:p w14:paraId="6461262C" w14:textId="77777777" w:rsidR="00DF6C29" w:rsidRPr="00DF6C29" w:rsidRDefault="00DF6C29" w:rsidP="00DF6C29">
      <w:pPr>
        <w:spacing w:after="0" w:line="240" w:lineRule="auto"/>
        <w:jc w:val="both"/>
        <w:rPr>
          <w:rFonts w:ascii="Arial" w:hAnsi="Arial" w:cs="Arial"/>
          <w:sz w:val="24"/>
          <w:szCs w:val="24"/>
        </w:rPr>
      </w:pPr>
    </w:p>
    <w:p w14:paraId="7E02601D"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Esos errores de hecho fueron determinantes de la condena restitutoria. Si el Tribunal hubiera apreciado correctamente la prueba calificada, no habría podido concluir, con el grado de certeza exigible, ni que Porvenir efectuó la totalidad de los pagos cuya restitución reclamó, ni que existía soporte bastante para ordenar el reintegro general de todas las mesadas recibidas por los beneficiarios y los herederos de Ana Lucila Fonseca de Arenas.</w:t>
      </w:r>
    </w:p>
    <w:p w14:paraId="3C2E3B96" w14:textId="77777777" w:rsidR="00DF6C29" w:rsidRPr="00DF6C29" w:rsidRDefault="00DF6C29" w:rsidP="00DF6C29">
      <w:pPr>
        <w:spacing w:after="0" w:line="240" w:lineRule="auto"/>
        <w:jc w:val="both"/>
        <w:rPr>
          <w:rFonts w:ascii="Arial" w:hAnsi="Arial" w:cs="Arial"/>
          <w:sz w:val="24"/>
          <w:szCs w:val="24"/>
        </w:rPr>
      </w:pPr>
    </w:p>
    <w:p w14:paraId="54B0B77E"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En esas condiciones, el fallo aplicó indebidamente el artículo 2313 del Código Civil, pues hizo operar la figura del pago de lo no debido sin tener demostrado, en debida forma, el supuesto fáctico indispensable para su procedencia, esto es, la realización del pago por quien pretende repetirlo y la determinación cierta de lo pagado.</w:t>
      </w:r>
    </w:p>
    <w:p w14:paraId="1A7C39FD" w14:textId="77777777" w:rsidR="00DF6C29" w:rsidRPr="00DF6C29" w:rsidRDefault="00DF6C29" w:rsidP="00DF6C29">
      <w:pPr>
        <w:spacing w:after="0" w:line="240" w:lineRule="auto"/>
        <w:jc w:val="both"/>
        <w:rPr>
          <w:rFonts w:ascii="Arial" w:hAnsi="Arial" w:cs="Arial"/>
          <w:sz w:val="24"/>
          <w:szCs w:val="24"/>
        </w:rPr>
      </w:pPr>
    </w:p>
    <w:p w14:paraId="2AC950E4" w14:textId="34235560"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C) </w:t>
      </w:r>
      <w:r w:rsidR="00DF6C29" w:rsidRPr="00E45319">
        <w:rPr>
          <w:rFonts w:ascii="Arial" w:hAnsi="Arial" w:cs="Arial"/>
          <w:b/>
          <w:bCs/>
          <w:sz w:val="24"/>
          <w:szCs w:val="24"/>
        </w:rPr>
        <w:t>CONCLUSIÓN DEL CARGO SEGUNDO</w:t>
      </w:r>
    </w:p>
    <w:p w14:paraId="0830F43A" w14:textId="77777777" w:rsidR="00DF6C29" w:rsidRPr="00DF6C29" w:rsidRDefault="00DF6C29" w:rsidP="00DF6C29">
      <w:pPr>
        <w:spacing w:after="0" w:line="240" w:lineRule="auto"/>
        <w:jc w:val="both"/>
        <w:rPr>
          <w:rFonts w:ascii="Arial" w:hAnsi="Arial" w:cs="Arial"/>
          <w:sz w:val="24"/>
          <w:szCs w:val="24"/>
        </w:rPr>
      </w:pPr>
    </w:p>
    <w:p w14:paraId="59160DCA"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Por lo expuesto, solicito a la Honorable Corte casar parcialmente la sentencia impugnada, exclusivamente en cuanto ordenó el reintegro de las mesadas pensionales, el pago de intereses de mora y la condena en costas de primera instancia a cargo de la parte demandada, para que, en sede de instancia, se revoquen esas condenas.</w:t>
      </w:r>
    </w:p>
    <w:p w14:paraId="3E1BEB7B" w14:textId="77777777" w:rsidR="00DF6C29" w:rsidRPr="00DF6C29" w:rsidRDefault="00DF6C29" w:rsidP="00DF6C29">
      <w:pPr>
        <w:spacing w:after="0" w:line="240" w:lineRule="auto"/>
        <w:jc w:val="both"/>
        <w:rPr>
          <w:rFonts w:ascii="Arial" w:hAnsi="Arial" w:cs="Arial"/>
          <w:sz w:val="24"/>
          <w:szCs w:val="24"/>
        </w:rPr>
      </w:pPr>
    </w:p>
    <w:p w14:paraId="50259324" w14:textId="5D335ACB"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4.</w:t>
      </w:r>
      <w:r w:rsidR="00DF6C29" w:rsidRPr="00E45319">
        <w:rPr>
          <w:rFonts w:ascii="Arial" w:hAnsi="Arial" w:cs="Arial"/>
          <w:b/>
          <w:bCs/>
          <w:sz w:val="24"/>
          <w:szCs w:val="24"/>
        </w:rPr>
        <w:t xml:space="preserve"> PETICIÓN</w:t>
      </w:r>
    </w:p>
    <w:p w14:paraId="4C8AB487" w14:textId="77777777" w:rsidR="00DF6C29" w:rsidRPr="00DF6C29" w:rsidRDefault="00DF6C29" w:rsidP="00DF6C29">
      <w:pPr>
        <w:spacing w:after="0" w:line="240" w:lineRule="auto"/>
        <w:jc w:val="both"/>
        <w:rPr>
          <w:rFonts w:ascii="Arial" w:hAnsi="Arial" w:cs="Arial"/>
          <w:sz w:val="24"/>
          <w:szCs w:val="24"/>
        </w:rPr>
      </w:pPr>
    </w:p>
    <w:p w14:paraId="003C80D4" w14:textId="77777777" w:rsidR="00DF6C29" w:rsidRPr="00DF6C29" w:rsidRDefault="00DF6C29" w:rsidP="00DF6C29">
      <w:pPr>
        <w:spacing w:after="0" w:line="240" w:lineRule="auto"/>
        <w:jc w:val="both"/>
        <w:rPr>
          <w:rFonts w:ascii="Arial" w:hAnsi="Arial" w:cs="Arial"/>
          <w:sz w:val="24"/>
          <w:szCs w:val="24"/>
        </w:rPr>
      </w:pPr>
      <w:r w:rsidRPr="00E45319">
        <w:rPr>
          <w:rFonts w:ascii="Arial" w:hAnsi="Arial" w:cs="Arial"/>
          <w:b/>
          <w:bCs/>
          <w:sz w:val="24"/>
          <w:szCs w:val="24"/>
        </w:rPr>
        <w:t>PRIMERO:</w:t>
      </w:r>
      <w:r w:rsidRPr="00DF6C29">
        <w:rPr>
          <w:rFonts w:ascii="Arial" w:hAnsi="Arial" w:cs="Arial"/>
          <w:sz w:val="24"/>
          <w:szCs w:val="24"/>
        </w:rPr>
        <w:t xml:space="preserve"> En relación con el cargo primero, CASAR TOTALMENTE la sentencia proferida por la Sala Laboral del Tribunal Superior del Distrito Judicial de Tunja el treinta y uno (31) de octubre de dos mil veinticinco (2025), dentro del proceso ordinario laboral No. 15001 3105 001 2022 00022-01, radicación interna 2024-1601.</w:t>
      </w:r>
    </w:p>
    <w:p w14:paraId="2C26FA11" w14:textId="77777777" w:rsidR="00DF6C29" w:rsidRPr="00DF6C29" w:rsidRDefault="00DF6C29" w:rsidP="00DF6C29">
      <w:pPr>
        <w:spacing w:after="0" w:line="240" w:lineRule="auto"/>
        <w:jc w:val="both"/>
        <w:rPr>
          <w:rFonts w:ascii="Arial" w:hAnsi="Arial" w:cs="Arial"/>
          <w:sz w:val="24"/>
          <w:szCs w:val="24"/>
        </w:rPr>
      </w:pPr>
    </w:p>
    <w:p w14:paraId="6E5428BA" w14:textId="77777777" w:rsidR="00DF6C29" w:rsidRPr="00DF6C29" w:rsidRDefault="00DF6C29" w:rsidP="00DF6C29">
      <w:pPr>
        <w:spacing w:after="0" w:line="240" w:lineRule="auto"/>
        <w:jc w:val="both"/>
        <w:rPr>
          <w:rFonts w:ascii="Arial" w:hAnsi="Arial" w:cs="Arial"/>
          <w:sz w:val="24"/>
          <w:szCs w:val="24"/>
        </w:rPr>
      </w:pPr>
      <w:r w:rsidRPr="00E45319">
        <w:rPr>
          <w:rFonts w:ascii="Arial" w:hAnsi="Arial" w:cs="Arial"/>
          <w:b/>
          <w:bCs/>
          <w:sz w:val="24"/>
          <w:szCs w:val="24"/>
        </w:rPr>
        <w:t>SEGUNDO:</w:t>
      </w:r>
      <w:r w:rsidRPr="00DF6C29">
        <w:rPr>
          <w:rFonts w:ascii="Arial" w:hAnsi="Arial" w:cs="Arial"/>
          <w:sz w:val="24"/>
          <w:szCs w:val="24"/>
        </w:rPr>
        <w:t xml:space="preserve"> En sede de instancia, CONFIRMAR íntegramente la sentencia del Juzgado Primero Laboral del Circuito de Tunja del veinticinco (25) de noviembre de dos mil veinticuatro (2024), inclusive en lo relativo a la condena en costas impuesta a la parte actora.</w:t>
      </w:r>
    </w:p>
    <w:p w14:paraId="2DAB6BE5" w14:textId="77777777" w:rsidR="00DF6C29" w:rsidRPr="00DF6C29" w:rsidRDefault="00DF6C29" w:rsidP="00DF6C29">
      <w:pPr>
        <w:spacing w:after="0" w:line="240" w:lineRule="auto"/>
        <w:jc w:val="both"/>
        <w:rPr>
          <w:rFonts w:ascii="Arial" w:hAnsi="Arial" w:cs="Arial"/>
          <w:sz w:val="24"/>
          <w:szCs w:val="24"/>
        </w:rPr>
      </w:pPr>
    </w:p>
    <w:p w14:paraId="245701A4" w14:textId="77777777" w:rsidR="00DF6C29" w:rsidRPr="00DF6C29" w:rsidRDefault="00DF6C29" w:rsidP="00DF6C29">
      <w:pPr>
        <w:spacing w:after="0" w:line="240" w:lineRule="auto"/>
        <w:jc w:val="both"/>
        <w:rPr>
          <w:rFonts w:ascii="Arial" w:hAnsi="Arial" w:cs="Arial"/>
          <w:sz w:val="24"/>
          <w:szCs w:val="24"/>
        </w:rPr>
      </w:pPr>
      <w:r w:rsidRPr="00E45319">
        <w:rPr>
          <w:rFonts w:ascii="Arial" w:hAnsi="Arial" w:cs="Arial"/>
          <w:b/>
          <w:bCs/>
          <w:sz w:val="24"/>
          <w:szCs w:val="24"/>
        </w:rPr>
        <w:t>TERCERO:</w:t>
      </w:r>
      <w:r w:rsidRPr="00DF6C29">
        <w:rPr>
          <w:rFonts w:ascii="Arial" w:hAnsi="Arial" w:cs="Arial"/>
          <w:sz w:val="24"/>
          <w:szCs w:val="24"/>
        </w:rPr>
        <w:t xml:space="preserve"> Subsidiariamente, de prosperar únicamente el cargo segundo, CASAR PARCIALMENTE la sentencia impugnada en cuanto ordenó el reintegro de mesadas, los intereses de mora y las costas de primera instancia a cargo de la parte demandada, para que, en sede de instancia, se REVOQUEN esas condenas.</w:t>
      </w:r>
    </w:p>
    <w:p w14:paraId="38E6B510" w14:textId="77777777" w:rsidR="00DF6C29" w:rsidRPr="00DF6C29" w:rsidRDefault="00DF6C29" w:rsidP="00DF6C29">
      <w:pPr>
        <w:spacing w:after="0" w:line="240" w:lineRule="auto"/>
        <w:jc w:val="both"/>
        <w:rPr>
          <w:rFonts w:ascii="Arial" w:hAnsi="Arial" w:cs="Arial"/>
          <w:sz w:val="24"/>
          <w:szCs w:val="24"/>
        </w:rPr>
      </w:pPr>
    </w:p>
    <w:p w14:paraId="251BED4D" w14:textId="77777777" w:rsidR="00E45319" w:rsidRDefault="00E45319" w:rsidP="00DF6C29">
      <w:pPr>
        <w:spacing w:after="0" w:line="240" w:lineRule="auto"/>
        <w:jc w:val="both"/>
        <w:rPr>
          <w:rFonts w:ascii="Arial" w:hAnsi="Arial" w:cs="Arial"/>
          <w:b/>
          <w:bCs/>
          <w:sz w:val="24"/>
          <w:szCs w:val="24"/>
        </w:rPr>
      </w:pPr>
    </w:p>
    <w:p w14:paraId="22C5EA16" w14:textId="77777777" w:rsidR="00E45319" w:rsidRDefault="00E45319" w:rsidP="00DF6C29">
      <w:pPr>
        <w:spacing w:after="0" w:line="240" w:lineRule="auto"/>
        <w:jc w:val="both"/>
        <w:rPr>
          <w:rFonts w:ascii="Arial" w:hAnsi="Arial" w:cs="Arial"/>
          <w:b/>
          <w:bCs/>
          <w:sz w:val="24"/>
          <w:szCs w:val="24"/>
        </w:rPr>
      </w:pPr>
    </w:p>
    <w:p w14:paraId="05BD0168" w14:textId="3B6B69C8" w:rsidR="00DF6C29" w:rsidRPr="00E45319" w:rsidRDefault="00DF6C29" w:rsidP="00DF6C29">
      <w:pPr>
        <w:spacing w:after="0" w:line="240" w:lineRule="auto"/>
        <w:jc w:val="both"/>
        <w:rPr>
          <w:rFonts w:ascii="Arial" w:hAnsi="Arial" w:cs="Arial"/>
          <w:b/>
          <w:bCs/>
          <w:sz w:val="24"/>
          <w:szCs w:val="24"/>
        </w:rPr>
      </w:pPr>
      <w:r w:rsidRPr="00E45319">
        <w:rPr>
          <w:rFonts w:ascii="Arial" w:hAnsi="Arial" w:cs="Arial"/>
          <w:b/>
          <w:bCs/>
          <w:sz w:val="24"/>
          <w:szCs w:val="24"/>
        </w:rPr>
        <w:lastRenderedPageBreak/>
        <w:t>IX. NOTIFICACIONES</w:t>
      </w:r>
    </w:p>
    <w:p w14:paraId="3EEB970C" w14:textId="77777777" w:rsidR="00DF6C29" w:rsidRPr="00DF6C29" w:rsidRDefault="00DF6C29" w:rsidP="00DF6C29">
      <w:pPr>
        <w:spacing w:after="0" w:line="240" w:lineRule="auto"/>
        <w:jc w:val="both"/>
        <w:rPr>
          <w:rFonts w:ascii="Arial" w:hAnsi="Arial" w:cs="Arial"/>
          <w:sz w:val="24"/>
          <w:szCs w:val="24"/>
        </w:rPr>
      </w:pPr>
    </w:p>
    <w:p w14:paraId="6F0E7DE6"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El suscrito apoderado judicial recibe notificaciones en la Carrera 1F No. 40-149 de Tunja, Boyacá, en el correo electrónico chbm51@gmail.com</w:t>
      </w:r>
    </w:p>
    <w:p w14:paraId="1A00D8E4"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 y en el abonado telefónico 319 638 9030.</w:t>
      </w:r>
    </w:p>
    <w:p w14:paraId="2D8D71E1" w14:textId="77777777" w:rsidR="00DF6C29" w:rsidRPr="00DF6C29" w:rsidRDefault="00DF6C29" w:rsidP="00DF6C29">
      <w:pPr>
        <w:spacing w:after="0" w:line="240" w:lineRule="auto"/>
        <w:jc w:val="both"/>
        <w:rPr>
          <w:rFonts w:ascii="Arial" w:hAnsi="Arial" w:cs="Arial"/>
          <w:sz w:val="24"/>
          <w:szCs w:val="24"/>
        </w:rPr>
      </w:pPr>
    </w:p>
    <w:p w14:paraId="2656906B"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Las demás partes reciben notificaciones en las direcciones físicas y electrónicas que obran en el expediente.</w:t>
      </w:r>
    </w:p>
    <w:p w14:paraId="61EF1DE1" w14:textId="77777777" w:rsidR="00DF6C29" w:rsidRPr="00DF6C29" w:rsidRDefault="00DF6C29" w:rsidP="00DF6C29">
      <w:pPr>
        <w:spacing w:after="0" w:line="240" w:lineRule="auto"/>
        <w:jc w:val="both"/>
        <w:rPr>
          <w:rFonts w:ascii="Arial" w:hAnsi="Arial" w:cs="Arial"/>
          <w:sz w:val="24"/>
          <w:szCs w:val="24"/>
        </w:rPr>
      </w:pPr>
    </w:p>
    <w:p w14:paraId="2D5A25BE"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En cumplimiento de lo dispuesto en el numeral 14 del artículo 78 del Código General del Proceso, en concordancia con la Ley 2213 de 2022, manifiesto que la presente demanda se comparte a las direcciones electrónicas que se conocen de las partes y de sus apoderados, conforme constan en el expediente.</w:t>
      </w:r>
    </w:p>
    <w:p w14:paraId="7666BE2A" w14:textId="77777777" w:rsidR="00DF6C29" w:rsidRPr="00DF6C29" w:rsidRDefault="00DF6C29" w:rsidP="00DF6C29">
      <w:pPr>
        <w:spacing w:after="0" w:line="240" w:lineRule="auto"/>
        <w:jc w:val="both"/>
        <w:rPr>
          <w:rFonts w:ascii="Arial" w:hAnsi="Arial" w:cs="Arial"/>
          <w:sz w:val="24"/>
          <w:szCs w:val="24"/>
        </w:rPr>
      </w:pPr>
    </w:p>
    <w:p w14:paraId="5E9A50C9"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Tunja, [fecha]</w:t>
      </w:r>
    </w:p>
    <w:p w14:paraId="611A0EDA" w14:textId="77777777" w:rsidR="00DF6C29" w:rsidRPr="00DF6C29" w:rsidRDefault="00DF6C29" w:rsidP="00DF6C29">
      <w:pPr>
        <w:spacing w:after="0" w:line="240" w:lineRule="auto"/>
        <w:jc w:val="both"/>
        <w:rPr>
          <w:rFonts w:ascii="Arial" w:hAnsi="Arial" w:cs="Arial"/>
          <w:sz w:val="24"/>
          <w:szCs w:val="24"/>
        </w:rPr>
      </w:pPr>
    </w:p>
    <w:p w14:paraId="3FB8A73F"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Cordialmente,</w:t>
      </w:r>
    </w:p>
    <w:p w14:paraId="29F504DD" w14:textId="77777777" w:rsidR="00DF6C29" w:rsidRPr="00DF6C29" w:rsidRDefault="00DF6C29" w:rsidP="00DF6C29">
      <w:pPr>
        <w:spacing w:after="0" w:line="240" w:lineRule="auto"/>
        <w:jc w:val="both"/>
        <w:rPr>
          <w:rFonts w:ascii="Arial" w:hAnsi="Arial" w:cs="Arial"/>
          <w:sz w:val="24"/>
          <w:szCs w:val="24"/>
        </w:rPr>
      </w:pPr>
    </w:p>
    <w:p w14:paraId="37C8581F"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CARLOS HAROLDO BERMÚDEZ MARTÍNEZ</w:t>
      </w:r>
    </w:p>
    <w:p w14:paraId="1BE95BD4"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C.C. No. 7.164.979</w:t>
      </w:r>
    </w:p>
    <w:p w14:paraId="47F37299" w14:textId="6274A131" w:rsidR="009573A5"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T.P. No. 269.131 del C. S. de la J.</w:t>
      </w:r>
    </w:p>
    <w:sectPr w:rsidR="009573A5" w:rsidRPr="00DF6C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76C33"/>
    <w:multiLevelType w:val="multilevel"/>
    <w:tmpl w:val="8488D6D8"/>
    <w:lvl w:ilvl="0">
      <w:start w:val="1"/>
      <w:numFmt w:val="decimal"/>
      <w:lvlText w:val="%1."/>
      <w:lvlJc w:val="left"/>
      <w:pPr>
        <w:ind w:left="360" w:hanging="360"/>
      </w:pPr>
      <w:rPr>
        <w:rFonts w:hint="default"/>
        <w:b/>
        <w:bCs/>
      </w:rPr>
    </w:lvl>
    <w:lvl w:ilvl="1">
      <w:start w:val="1"/>
      <w:numFmt w:val="decimal"/>
      <w:isLgl/>
      <w:lvlText w:val="%1.%2."/>
      <w:lvlJc w:val="left"/>
      <w:pPr>
        <w:ind w:left="1146" w:hanging="720"/>
      </w:pPr>
      <w:rPr>
        <w:rFonts w:hint="default"/>
        <w:b/>
        <w:bCs/>
      </w:rPr>
    </w:lvl>
    <w:lvl w:ilvl="2">
      <w:start w:val="1"/>
      <w:numFmt w:val="decimal"/>
      <w:isLgl/>
      <w:lvlText w:val="%1.%2.%3."/>
      <w:lvlJc w:val="left"/>
      <w:pPr>
        <w:ind w:left="1506" w:hanging="1080"/>
      </w:pPr>
      <w:rPr>
        <w:rFonts w:hint="default"/>
        <w:b/>
        <w:bCs/>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520" w:hanging="2520"/>
      </w:pPr>
      <w:rPr>
        <w:rFonts w:hint="default"/>
      </w:rPr>
    </w:lvl>
  </w:abstractNum>
  <w:abstractNum w:abstractNumId="1" w15:restartNumberingAfterBreak="0">
    <w:nsid w:val="44C44A87"/>
    <w:multiLevelType w:val="hybridMultilevel"/>
    <w:tmpl w:val="CBE6D9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B383063"/>
    <w:multiLevelType w:val="multilevel"/>
    <w:tmpl w:val="2B40804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822618636">
    <w:abstractNumId w:val="1"/>
  </w:num>
  <w:num w:numId="2" w16cid:durableId="511066640">
    <w:abstractNumId w:val="0"/>
  </w:num>
  <w:num w:numId="3" w16cid:durableId="567300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29"/>
    <w:rsid w:val="000C007B"/>
    <w:rsid w:val="00103DCE"/>
    <w:rsid w:val="002557D0"/>
    <w:rsid w:val="002712C2"/>
    <w:rsid w:val="00433066"/>
    <w:rsid w:val="005B289B"/>
    <w:rsid w:val="005E69D8"/>
    <w:rsid w:val="008F231F"/>
    <w:rsid w:val="009573A5"/>
    <w:rsid w:val="00A01FBB"/>
    <w:rsid w:val="00CD74A5"/>
    <w:rsid w:val="00DF6C29"/>
    <w:rsid w:val="00E453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0C9CA"/>
  <w15:chartTrackingRefBased/>
  <w15:docId w15:val="{4470A6E5-BCF3-4B5F-BE87-6C3DF80B1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6C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F6C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F6C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F6C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F6C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F6C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6C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6C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6C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6C2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F6C2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F6C2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F6C2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F6C2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F6C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6C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6C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6C29"/>
    <w:rPr>
      <w:rFonts w:eastAsiaTheme="majorEastAsia" w:cstheme="majorBidi"/>
      <w:color w:val="272727" w:themeColor="text1" w:themeTint="D8"/>
    </w:rPr>
  </w:style>
  <w:style w:type="paragraph" w:styleId="Ttulo">
    <w:name w:val="Title"/>
    <w:basedOn w:val="Normal"/>
    <w:next w:val="Normal"/>
    <w:link w:val="TtuloCar"/>
    <w:uiPriority w:val="10"/>
    <w:qFormat/>
    <w:rsid w:val="00DF6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6C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6C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6C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6C29"/>
    <w:pPr>
      <w:spacing w:before="160"/>
      <w:jc w:val="center"/>
    </w:pPr>
    <w:rPr>
      <w:i/>
      <w:iCs/>
      <w:color w:val="404040" w:themeColor="text1" w:themeTint="BF"/>
    </w:rPr>
  </w:style>
  <w:style w:type="character" w:customStyle="1" w:styleId="CitaCar">
    <w:name w:val="Cita Car"/>
    <w:basedOn w:val="Fuentedeprrafopredeter"/>
    <w:link w:val="Cita"/>
    <w:uiPriority w:val="29"/>
    <w:rsid w:val="00DF6C29"/>
    <w:rPr>
      <w:i/>
      <w:iCs/>
      <w:color w:val="404040" w:themeColor="text1" w:themeTint="BF"/>
    </w:rPr>
  </w:style>
  <w:style w:type="paragraph" w:styleId="Prrafodelista">
    <w:name w:val="List Paragraph"/>
    <w:basedOn w:val="Normal"/>
    <w:uiPriority w:val="34"/>
    <w:qFormat/>
    <w:rsid w:val="00DF6C29"/>
    <w:pPr>
      <w:ind w:left="720"/>
      <w:contextualSpacing/>
    </w:pPr>
  </w:style>
  <w:style w:type="character" w:styleId="nfasisintenso">
    <w:name w:val="Intense Emphasis"/>
    <w:basedOn w:val="Fuentedeprrafopredeter"/>
    <w:uiPriority w:val="21"/>
    <w:qFormat/>
    <w:rsid w:val="00DF6C29"/>
    <w:rPr>
      <w:i/>
      <w:iCs/>
      <w:color w:val="2F5496" w:themeColor="accent1" w:themeShade="BF"/>
    </w:rPr>
  </w:style>
  <w:style w:type="paragraph" w:styleId="Citadestacada">
    <w:name w:val="Intense Quote"/>
    <w:basedOn w:val="Normal"/>
    <w:next w:val="Normal"/>
    <w:link w:val="CitadestacadaCar"/>
    <w:uiPriority w:val="30"/>
    <w:qFormat/>
    <w:rsid w:val="00DF6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F6C29"/>
    <w:rPr>
      <w:i/>
      <w:iCs/>
      <w:color w:val="2F5496" w:themeColor="accent1" w:themeShade="BF"/>
    </w:rPr>
  </w:style>
  <w:style w:type="character" w:styleId="Referenciaintensa">
    <w:name w:val="Intense Reference"/>
    <w:basedOn w:val="Fuentedeprrafopredeter"/>
    <w:uiPriority w:val="32"/>
    <w:qFormat/>
    <w:rsid w:val="00DF6C29"/>
    <w:rPr>
      <w:b/>
      <w:bCs/>
      <w:smallCaps/>
      <w:color w:val="2F5496" w:themeColor="accent1" w:themeShade="BF"/>
      <w:spacing w:val="5"/>
    </w:rPr>
  </w:style>
  <w:style w:type="character" w:customStyle="1" w:styleId="normaltextrun">
    <w:name w:val="normaltextrun"/>
    <w:basedOn w:val="Fuentedeprrafopredeter"/>
    <w:rsid w:val="00DF6C29"/>
  </w:style>
  <w:style w:type="paragraph" w:customStyle="1" w:styleId="paragraph">
    <w:name w:val="paragraph"/>
    <w:basedOn w:val="Normal"/>
    <w:rsid w:val="00DF6C29"/>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3179</Words>
  <Characters>17486</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Haroldo Bermúdez Martínez</dc:creator>
  <cp:keywords/>
  <dc:description/>
  <cp:lastModifiedBy>Carlos Haroldo Bermúdez Martínez</cp:lastModifiedBy>
  <cp:revision>2</cp:revision>
  <dcterms:created xsi:type="dcterms:W3CDTF">2026-04-03T16:59:00Z</dcterms:created>
  <dcterms:modified xsi:type="dcterms:W3CDTF">2026-04-03T17:18:00Z</dcterms:modified>
</cp:coreProperties>
</file>