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52"/>
          <w:szCs w:val="52"/>
        </w:rPr>
        <w:t xml:space="preserve">Coordination-Washed</w:t>
      </w:r>
    </w:p>
    <w:p>
      <w:pPr>
        <w:spacing w:after="60"/>
        <w:jc w:val="center"/>
      </w:pPr>
      <w:r>
        <w:rPr>
          <w:rFonts w:ascii="Arial" w:cs="Arial" w:eastAsia="Arial" w:hAnsi="Arial"/>
          <w:sz w:val="32"/>
          <w:szCs w:val="32"/>
        </w:rPr>
        <w:t xml:space="preserve">How Mandatory Union Dues Blur the Line</w:t>
      </w:r>
    </w:p>
    <w:p>
      <w:pPr>
        <w:spacing w:after="60"/>
        <w:jc w:val="center"/>
      </w:pPr>
      <w:r>
        <w:rPr>
          <w:rFonts w:ascii="Arial" w:cs="Arial" w:eastAsia="Arial" w:hAnsi="Arial"/>
          <w:sz w:val="32"/>
          <w:szCs w:val="32"/>
        </w:rPr>
        <w:t xml:space="preserve">Between Solidarity and Extraction</w:t>
      </w:r>
    </w:p>
    <w:p>
      <w:pPr>
        <w:spacing w:after="400"/>
        <w:jc w:val="center"/>
      </w:pPr>
      <w:r>
        <w:rPr>
          <w:rFonts w:ascii="Arial" w:cs="Arial" w:eastAsia="Arial" w:hAnsi="Arial"/>
          <w:i/>
          <w:iCs/>
          <w:color w:val="555555"/>
          <w:sz w:val="24"/>
          <w:szCs w:val="24"/>
        </w:rPr>
        <w:t xml:space="preserve">A Structural Analysis Using Deferential Realism</w:t>
      </w:r>
    </w:p>
    <w:p>
      <w:pPr>
        <w:spacing w:after="600"/>
        <w:jc w:val="center"/>
      </w:pPr>
      <w:r>
        <w:rPr>
          <w:rFonts w:ascii="Arial" w:cs="Arial" w:eastAsia="Arial" w:hAnsi="Arial"/>
          <w:color w:val="777777"/>
          <w:sz w:val="22"/>
          <w:szCs w:val="22"/>
        </w:rPr>
        <w:t xml:space="preserve">February 2026 — Revision 2</w:t>
      </w:r>
    </w:p>
    <w:p>
      <w:pPr>
        <w:pStyle w:val="Heading1"/>
        <w:spacing w:before="360" w:after="200"/>
      </w:pPr>
      <w:r>
        <w:rPr>
          <w:rFonts w:ascii="Arial" w:cs="Arial" w:eastAsia="Arial" w:hAnsi="Arial"/>
          <w:b/>
          <w:bCs/>
          <w:sz w:val="36"/>
          <w:szCs w:val="36"/>
        </w:rPr>
        <w:t xml:space="preserve">I. A System That Works Differently Depending on Where You Stand</w:t>
      </w:r>
    </w:p>
    <w:p>
      <w:pPr>
        <w:spacing w:after="200" w:line="276"/>
      </w:pPr>
      <w:r>
        <w:rPr>
          <w:rFonts w:ascii="Georgia" w:cs="Georgia" w:eastAsia="Georgia" w:hAnsi="Georgia"/>
          <w:sz w:val="24"/>
          <w:szCs w:val="24"/>
        </w:rPr>
        <w:t xml:space="preserve">Consider a worker in a non-right-to-work state who discovers, upon examining her union’s federally mandated financial disclosure, that roughly a quarter of the dues deducted from her paycheck each month funds contract negotiation, grievance handling, and other direct representation. The rest goes to general overhead, per capita taxes to affiliated national unions, officer compensation, investments, and political activity. She cannot stop paying without leaving her job. She did not vote on the current dues rate. The entity collecting her money also decides how much of it counts as “chargeable.”</w:t>
      </w:r>
    </w:p>
    <w:p>
      <w:pPr>
        <w:spacing w:after="200" w:line="276"/>
      </w:pPr>
      <w:r>
        <w:rPr>
          <w:rFonts w:ascii="Georgia" w:cs="Georgia" w:eastAsia="Georgia" w:hAnsi="Georgia"/>
          <w:sz w:val="24"/>
          <w:szCs w:val="24"/>
        </w:rPr>
        <w:t xml:space="preserve">Now consider the union treasurer reviewing the same filing. From his perspective, the overhead funds the institutional capacity that </w:t>
      </w:r>
      <w:r>
        <w:rPr>
          <w:rFonts w:ascii="Georgia" w:cs="Georgia" w:eastAsia="Georgia" w:hAnsi="Georgia"/>
          <w:i/>
          <w:iCs/>
          <w:sz w:val="24"/>
          <w:szCs w:val="24"/>
        </w:rPr>
        <w:t xml:space="preserve">makes</w:t>
      </w:r>
      <w:r>
        <w:rPr>
          <w:rFonts w:ascii="Georgia" w:cs="Georgia" w:eastAsia="Georgia" w:hAnsi="Georgia"/>
          <w:sz w:val="24"/>
          <w:szCs w:val="24"/>
        </w:rPr>
        <w:t xml:space="preserve"> bargaining possible: the trained staff, the legal department, the research analysts, the strike reserve. The per capita taxes buy access to national bargaining resources. The political spending protects the legislative framework that keeps the union alive. Every dollar serves the mission, even if the accounting categories don’t show it that way.</w:t>
      </w:r>
    </w:p>
    <w:p>
      <w:pPr>
        <w:spacing w:after="200" w:line="276"/>
      </w:pPr>
      <w:r>
        <w:rPr>
          <w:rFonts w:ascii="Georgia" w:cs="Georgia" w:eastAsia="Georgia" w:hAnsi="Georgia"/>
          <w:sz w:val="24"/>
          <w:szCs w:val="24"/>
        </w:rPr>
        <w:t xml:space="preserve">Both perspectives are internally coherent. Both are grounded in real features of the system. And the gap between them—the fact that the same mandatory financial mechanism can function as coordination infrastructure from one vantage point and involuntary extraction from another—is the subject of this essay.</w:t>
      </w:r>
    </w:p>
    <w:p>
      <w:pPr>
        <w:spacing w:after="200" w:line="276"/>
      </w:pPr>
      <w:r>
        <w:rPr>
          <w:rFonts w:ascii="Georgia" w:cs="Georgia" w:eastAsia="Georgia" w:hAnsi="Georgia"/>
          <w:sz w:val="24"/>
          <w:szCs w:val="24"/>
        </w:rPr>
        <w:t xml:space="preserve">This is not a question about whether unions are “good” or “bad,” or whether collective bargaining delivers value. The evidence on the union wage premium is clear and is addressed below. The question is narrower: does the </w:t>
      </w:r>
      <w:r>
        <w:rPr>
          <w:rFonts w:ascii="Georgia" w:cs="Georgia" w:eastAsia="Georgia" w:hAnsi="Georgia"/>
          <w:i/>
          <w:iCs/>
          <w:sz w:val="24"/>
          <w:szCs w:val="24"/>
        </w:rPr>
        <w:t xml:space="preserve">specific financial architecture</w:t>
      </w:r>
      <w:r>
        <w:rPr>
          <w:rFonts w:ascii="Georgia" w:cs="Georgia" w:eastAsia="Georgia" w:hAnsi="Georgia"/>
          <w:sz w:val="24"/>
          <w:szCs w:val="24"/>
        </w:rPr>
        <w:t xml:space="preserve"> of mandatory dues—in which the collecting entity defines chargeable expenses, exit is procedurally constrained, and spending accountability is limited—exhibit structural features that warrant basic transparency reforms? And what does the divergence between institutional and individual experience tell us about how the mechanism actually operates?</w:t>
      </w:r>
    </w:p>
    <w:p>
      <w:pPr>
        <w:pStyle w:val="Heading1"/>
        <w:spacing w:before="360" w:after="200"/>
      </w:pPr>
      <w:r>
        <w:rPr>
          <w:rFonts w:ascii="Arial" w:cs="Arial" w:eastAsia="Arial" w:hAnsi="Arial"/>
          <w:b/>
          <w:bCs/>
          <w:sz w:val="36"/>
          <w:szCs w:val="36"/>
        </w:rPr>
        <w:t xml:space="preserve">II. The Structural Pattern: A Constraint That Changes Shape</w:t>
      </w:r>
    </w:p>
    <w:p>
      <w:pPr>
        <w:spacing w:after="200" w:line="276"/>
      </w:pPr>
      <w:r>
        <w:rPr>
          <w:rFonts w:ascii="Georgia" w:cs="Georgia" w:eastAsia="Georgia" w:hAnsi="Georgia"/>
          <w:sz w:val="24"/>
          <w:szCs w:val="24"/>
        </w:rPr>
        <w:t xml:space="preserve">Using a Deferential Realism (DR) analytical framework—an interpretive model for classifying institutional constraints, not an empirical measurement—the mandatory union dues mechanism can be examined along three structural dimensions: extractiveness (how asymmetrically benefit flows between parties), suppression (how difficult it is to exit or modify the constraint), and theater ratio (what proportion of institutional activity is performative versus functional). </w:t>
      </w:r>
      <w:r>
        <w:rPr>
          <w:rFonts w:ascii="Georgia" w:cs="Georgia" w:eastAsia="Georgia" w:hAnsi="Georgia"/>
          <w:i/>
          <w:iCs/>
          <w:sz w:val="24"/>
          <w:szCs w:val="24"/>
        </w:rPr>
        <w:t xml:space="preserve">These classifications organize documented facts; they are not independent evidence.</w:t>
      </w:r>
    </w:p>
    <w:p>
      <w:pPr>
        <w:spacing w:after="200" w:line="276"/>
      </w:pPr>
      <w:r>
        <w:rPr>
          <w:rFonts w:ascii="Georgia" w:cs="Georgia" w:eastAsia="Georgia" w:hAnsi="Georgia"/>
          <w:sz w:val="24"/>
          <w:szCs w:val="24"/>
        </w:rPr>
        <w:t xml:space="preserve">The framework uses a normalized “directionality” score from 0 to 1 that approximates how much more a constraint binds one party than another. What emerges is a perspectival gap—the constraint looks structurally different depending on who is experiencing it:</w:t>
      </w:r>
    </w:p>
    <w:p>
      <w:pPr>
        <w:spacing w:after="200" w:line="276"/>
      </w:pPr>
      <w:r>
        <w:rPr>
          <w:rFonts w:ascii="Georgia" w:cs="Georgia" w:eastAsia="Georgia" w:hAnsi="Georgia"/>
          <w:b/>
          <w:bCs/>
          <w:sz w:val="24"/>
          <w:szCs w:val="24"/>
        </w:rPr>
        <w:t xml:space="preserve">From the rank-and-file worker’s perspective </w:t>
      </w:r>
      <w:r>
        <w:rPr>
          <w:rFonts w:ascii="Georgia" w:cs="Georgia" w:eastAsia="Georgia" w:hAnsi="Georgia"/>
          <w:sz w:val="24"/>
          <w:szCs w:val="24"/>
        </w:rPr>
        <w:t xml:space="preserve">(low power, limited exit, biographical time horizon): the mechanism registers as a </w:t>
      </w:r>
      <w:r>
        <w:rPr>
          <w:rFonts w:ascii="Georgia" w:cs="Georgia" w:eastAsia="Georgia" w:hAnsi="Georgia"/>
          <w:b/>
          <w:bCs/>
          <w:sz w:val="24"/>
          <w:szCs w:val="24"/>
        </w:rPr>
        <w:t xml:space="preserve">snare</w:t>
      </w:r>
      <w:r>
        <w:rPr>
          <w:rFonts w:ascii="Georgia" w:cs="Georgia" w:eastAsia="Georgia" w:hAnsi="Georgia"/>
          <w:sz w:val="24"/>
          <w:szCs w:val="24"/>
        </w:rPr>
        <w:t xml:space="preserve">—a mandatory extraction deducted before the worker sees her paycheck, with no practical ability to renegotiate in states without right-to-work laws. Directionality is high (the constraint operates overwhelmingly against the worker’s discretionary interests).</w:t>
      </w:r>
    </w:p>
    <w:p>
      <w:pPr>
        <w:spacing w:after="200" w:line="276"/>
      </w:pPr>
      <w:r>
        <w:rPr>
          <w:rFonts w:ascii="Georgia" w:cs="Georgia" w:eastAsia="Georgia" w:hAnsi="Georgia"/>
          <w:b/>
          <w:bCs/>
          <w:sz w:val="24"/>
          <w:szCs w:val="24"/>
        </w:rPr>
        <w:t xml:space="preserve">From the union leadership’s perspective </w:t>
      </w:r>
      <w:r>
        <w:rPr>
          <w:rFonts w:ascii="Georgia" w:cs="Georgia" w:eastAsia="Georgia" w:hAnsi="Georgia"/>
          <w:sz w:val="24"/>
          <w:szCs w:val="24"/>
        </w:rPr>
        <w:t xml:space="preserve">(institutional power, arbitrage options, generational time horizon): the same mechanism registers as a </w:t>
      </w:r>
      <w:r>
        <w:rPr>
          <w:rFonts w:ascii="Georgia" w:cs="Georgia" w:eastAsia="Georgia" w:hAnsi="Georgia"/>
          <w:b/>
          <w:bCs/>
          <w:sz w:val="24"/>
          <w:szCs w:val="24"/>
        </w:rPr>
        <w:t xml:space="preserve">rope</w:t>
      </w:r>
      <w:r>
        <w:rPr>
          <w:rFonts w:ascii="Georgia" w:cs="Georgia" w:eastAsia="Georgia" w:hAnsi="Georgia"/>
          <w:sz w:val="24"/>
          <w:szCs w:val="24"/>
        </w:rPr>
        <w:t xml:space="preserve">—a functional coordination tool that solves the free-rider problem and enables collective bargaining. Directionality is near zero (the constraint operates in the institution’s favor).</w:t>
      </w:r>
    </w:p>
    <w:p>
      <w:pPr>
        <w:spacing w:after="200" w:line="276"/>
      </w:pPr>
      <w:r>
        <w:rPr>
          <w:rFonts w:ascii="Georgia" w:cs="Georgia" w:eastAsia="Georgia" w:hAnsi="Georgia"/>
          <w:b/>
          <w:bCs/>
          <w:sz w:val="24"/>
          <w:szCs w:val="24"/>
        </w:rPr>
        <w:t xml:space="preserve">From an analytical perspective </w:t>
      </w:r>
      <w:r>
        <w:rPr>
          <w:rFonts w:ascii="Georgia" w:cs="Georgia" w:eastAsia="Georgia" w:hAnsi="Georgia"/>
          <w:sz w:val="24"/>
          <w:szCs w:val="24"/>
        </w:rPr>
        <w:t xml:space="preserve">(systems-level, long time horizon): the mechanism classifies as a </w:t>
      </w:r>
      <w:r>
        <w:rPr>
          <w:rFonts w:ascii="Georgia" w:cs="Georgia" w:eastAsia="Georgia" w:hAnsi="Georgia"/>
          <w:b/>
          <w:bCs/>
          <w:sz w:val="24"/>
          <w:szCs w:val="24"/>
        </w:rPr>
        <w:t xml:space="preserve">tangled rope</w:t>
      </w:r>
      <w:r>
        <w:rPr>
          <w:rFonts w:ascii="Georgia" w:cs="Georgia" w:eastAsia="Georgia" w:hAnsi="Georgia"/>
          <w:sz w:val="24"/>
          <w:szCs w:val="24"/>
        </w:rPr>
        <w:t xml:space="preserve">—a constraint that genuinely does coordination work while simultaneously extracting value asymmetrically. Call it a rope that also skims.</w:t>
      </w:r>
    </w:p>
    <w:p>
      <w:pPr>
        <w:spacing w:after="200" w:line="276"/>
      </w:pPr>
      <w:r>
        <w:rPr>
          <w:rFonts w:ascii="Georgia" w:cs="Georgia" w:eastAsia="Georgia" w:hAnsi="Georgia"/>
          <w:sz w:val="24"/>
          <w:szCs w:val="24"/>
        </w:rPr>
        <w:t xml:space="preserve">The magnitude of this perspectival gap matters. In the framework’s corpus of analyzed constraints, most mixed mechanisms produce a gap under 0.3 on a normalized scale. The mandatory dues mechanism produces a gap of approximately 0.54—large enough to flag it as structurally anomalous. The framework’s signature analysis labels this a </w:t>
      </w:r>
      <w:r>
        <w:rPr>
          <w:rFonts w:ascii="Georgia" w:cs="Georgia" w:eastAsia="Georgia" w:hAnsi="Georgia"/>
          <w:b/>
          <w:bCs/>
          <w:sz w:val="24"/>
          <w:szCs w:val="24"/>
        </w:rPr>
        <w:t xml:space="preserve">“false coordination rope”</w:t>
      </w:r>
      <w:r>
        <w:rPr>
          <w:rFonts w:ascii="Georgia" w:cs="Georgia" w:eastAsia="Georgia" w:hAnsi="Georgia"/>
          <w:sz w:val="24"/>
          <w:szCs w:val="24"/>
        </w:rPr>
        <w:t xml:space="preserve">—a constraint that presents as coordination but fails multiple structural integrity tests. The shorthand is “coordination-washed”: real coordination that provides cover for extraction that would not survive scrutiny if examined transparently.</w:t>
      </w:r>
    </w:p>
    <w:p>
      <w:pPr>
        <w:spacing w:after="80"/>
      </w:pPr>
      <w:r>
        <w:rPr>
          <w:rFonts w:ascii="Arial" w:cs="Arial" w:eastAsia="Arial" w:hAnsi="Arial"/>
          <w:b/>
          <w:bCs/>
          <w:color w:val="8b0000"/>
          <w:sz w:val="22"/>
          <w:szCs w:val="22"/>
        </w:rPr>
        <w:t xml:space="preserve">[Tier 3 – Model Output]</w:t>
      </w:r>
      <w:r>
        <w:rPr>
          <w:rFonts w:ascii="Georgia" w:cs="Georgia" w:eastAsia="Georgia" w:hAnsi="Georgia"/>
          <w:i/>
          <w:iCs/>
          <w:sz w:val="22"/>
          <w:szCs w:val="22"/>
        </w:rPr>
        <w:t xml:space="preserve"> These classifications are generated by an interpretive framework that has not been independently peer-reviewed. They should be treated as structured hypotheses, not established findings. What would strengthen them toward Tier 2: independent replication of the framework’s classifications across multiple institutional constraint domains.</w:t>
      </w:r>
    </w:p>
    <w:p>
      <w:pPr>
        <w:pStyle w:val="Heading1"/>
        <w:spacing w:before="360" w:after="200"/>
      </w:pPr>
      <w:r>
        <w:rPr>
          <w:rFonts w:ascii="Arial" w:cs="Arial" w:eastAsia="Arial" w:hAnsi="Arial"/>
          <w:b/>
          <w:bCs/>
          <w:sz w:val="36"/>
          <w:szCs w:val="36"/>
        </w:rPr>
        <w:t xml:space="preserve">III. Three Independent Lines of Evidence</w:t>
      </w:r>
    </w:p>
    <w:p>
      <w:pPr>
        <w:spacing w:after="200" w:line="276"/>
      </w:pPr>
      <w:r>
        <w:rPr>
          <w:rFonts w:ascii="Georgia" w:cs="Georgia" w:eastAsia="Georgia" w:hAnsi="Georgia"/>
          <w:sz w:val="24"/>
          <w:szCs w:val="24"/>
        </w:rPr>
        <w:t xml:space="preserve">Each of the following lines stands on its own. If one is refuted, the others remain.</w:t>
      </w:r>
    </w:p>
    <w:p>
      <w:pPr>
        <w:pStyle w:val="Heading2"/>
        <w:spacing w:before="360" w:after="200"/>
      </w:pPr>
      <w:r>
        <w:rPr>
          <w:rFonts w:ascii="Arial" w:cs="Arial" w:eastAsia="Arial" w:hAnsi="Arial"/>
          <w:b/>
          <w:bCs/>
          <w:sz w:val="30"/>
          <w:szCs w:val="30"/>
        </w:rPr>
        <w:t xml:space="preserve">A. The Spending Gap—and Its Limitations</w:t>
      </w:r>
    </w:p>
    <w:p>
      <w:pPr>
        <w:spacing w:after="200" w:line="276"/>
      </w:pPr>
      <w:r>
        <w:rPr>
          <w:rFonts w:ascii="Georgia" w:cs="Georgia" w:eastAsia="Georgia" w:hAnsi="Georgia"/>
          <w:sz w:val="24"/>
          <w:szCs w:val="24"/>
        </w:rPr>
        <w:t xml:space="preserve">Federal LM-2 financial disclosure forms, required of private-sector unions under the Labor-Management Reporting and Disclosure Act of 1959, provide the most direct window into dues allocation. A review of LM-2 filings for six major unions found that “Representational Activities”—the LM-2 category most closely aligned with direct bargaining, grievance handling, and contract administration—accounted for between 29.5 percent and 55.2 percent of total spending, with less than half going to representation on average. The United Federation of Teachers’ filing for August 2022–July 2023 showed representational activities at 9.4 percent of expenditures. The Montana Federation of Public Employees showed 24.6 percent.</w:t>
      </w:r>
    </w:p>
    <w:p>
      <w:pPr>
        <w:spacing w:after="200" w:line="276"/>
      </w:pPr>
      <w:r>
        <w:rPr>
          <w:rFonts w:ascii="Georgia" w:cs="Georgia" w:eastAsia="Georgia" w:hAnsi="Georgia"/>
          <w:b/>
          <w:bCs/>
          <w:sz w:val="24"/>
          <w:szCs w:val="24"/>
        </w:rPr>
        <w:t xml:space="preserve">An important caveat about LM-2 categories: </w:t>
      </w:r>
      <w:r>
        <w:rPr>
          <w:rFonts w:ascii="Georgia" w:cs="Georgia" w:eastAsia="Georgia" w:hAnsi="Georgia"/>
          <w:sz w:val="24"/>
          <w:szCs w:val="24"/>
        </w:rPr>
        <w:t xml:space="preserve">The accounting definition of “Representational Activities” on LM-2 forms is narrow. It captures direct bargaining and grievance work, but portions of what appears as “overhead” may fund the institutional infrastructure that enables representation—legal staff salaries, research analysts who prepare for negotiations, strike reserve maintenance, training programs. A union treasurer would argue, with some justification, that the logistics tail behind the front line is itself representational.</w:t>
      </w:r>
    </w:p>
    <w:p>
      <w:pPr>
        <w:spacing w:after="200" w:line="276"/>
      </w:pPr>
      <w:r>
        <w:rPr>
          <w:rFonts w:ascii="Georgia" w:cs="Georgia" w:eastAsia="Georgia" w:hAnsi="Georgia"/>
          <w:sz w:val="24"/>
          <w:szCs w:val="24"/>
        </w:rPr>
        <w:t xml:space="preserve">This is a fair objection, and it means the raw representation percentage should not be treated as a precise measure of “what workers get.” However, the objection does not fully resolve the pattern for three reasons. First, the LM-2 form was specifically designed to capture representational spending; if the categories systematically undercount it, that is itself a transparency problem the Department of Labor could fix. Second, even granting generous reclassification of overhead, the largest non-representational categories in multiple filings—per capita taxes to national affiliates, officer compensation, investment purchasing, political activity—are not plausibly representational infrastructure. Third, and most importantly, the relevant comparison is not between “real” and “reported” representation but between what workers </w:t>
      </w:r>
      <w:r>
        <w:rPr>
          <w:rFonts w:ascii="Georgia" w:cs="Georgia" w:eastAsia="Georgia" w:hAnsi="Georgia"/>
          <w:i/>
          <w:iCs/>
          <w:sz w:val="24"/>
          <w:szCs w:val="24"/>
        </w:rPr>
        <w:t xml:space="preserve">believe</w:t>
      </w:r>
      <w:r>
        <w:rPr>
          <w:rFonts w:ascii="Georgia" w:cs="Georgia" w:eastAsia="Georgia" w:hAnsi="Georgia"/>
          <w:sz w:val="24"/>
          <w:szCs w:val="24"/>
        </w:rPr>
        <w:t xml:space="preserve"> their dues fund and what the filings show. If the gap between perception and reality is large, that is a transparency failure regardless of accounting definitions.</w:t>
      </w:r>
    </w:p>
    <w:p>
      <w:pPr>
        <w:pStyle w:val="Heading3"/>
        <w:spacing w:before="360" w:after="200"/>
      </w:pPr>
      <w:r>
        <w:rPr>
          <w:rFonts w:ascii="Arial" w:cs="Arial" w:eastAsia="Arial" w:hAnsi="Arial"/>
          <w:b/>
          <w:bCs/>
          <w:sz w:val="26"/>
          <w:szCs w:val="26"/>
        </w:rPr>
        <w:t xml:space="preserve">Comparative Context</w:t>
      </w:r>
    </w:p>
    <w:p>
      <w:pPr>
        <w:spacing w:after="200" w:line="276"/>
      </w:pPr>
      <w:r>
        <w:rPr>
          <w:rFonts w:ascii="Georgia" w:cs="Georgia" w:eastAsia="Georgia" w:hAnsi="Georgia"/>
          <w:sz w:val="24"/>
          <w:szCs w:val="24"/>
        </w:rPr>
        <w:t xml:space="preserve">A fair criticism of the spending data is that it lacks a benchmark. All complex membership organizations—professional associations, bar associations, trade groups, large nonprofits—develop administrative overhead over time. If unions’ spending patterns are structurally similar to other institutions, the extraction claim loses its distinctiveness.</w:t>
      </w:r>
    </w:p>
    <w:p>
      <w:pPr>
        <w:spacing w:after="200" w:line="276"/>
      </w:pPr>
      <w:r>
        <w:rPr>
          <w:rFonts w:ascii="Georgia" w:cs="Georgia" w:eastAsia="Georgia" w:hAnsi="Georgia"/>
          <w:sz w:val="24"/>
          <w:szCs w:val="24"/>
        </w:rPr>
        <w:t xml:space="preserve">The relevant structural difference is not overhead levels per se, but the combination of overhead levels </w:t>
      </w:r>
      <w:r>
        <w:rPr>
          <w:rFonts w:ascii="Georgia" w:cs="Georgia" w:eastAsia="Georgia" w:hAnsi="Georgia"/>
          <w:i/>
          <w:iCs/>
          <w:sz w:val="24"/>
          <w:szCs w:val="24"/>
        </w:rPr>
        <w:t xml:space="preserve">with exit architecture</w:t>
      </w:r>
      <w:r>
        <w:rPr>
          <w:rFonts w:ascii="Georgia" w:cs="Georgia" w:eastAsia="Georgia" w:hAnsi="Georgia"/>
          <w:sz w:val="24"/>
          <w:szCs w:val="24"/>
        </w:rPr>
        <w:t xml:space="preserve">. Members of the American Bar Association or the American Medical Association can resign at any time; their dues are voluntary. Donors to nonprofits can redirect contributions. Union members in non-right-to-work states cannot. When a typical nonprofit’s overhead drifts high, donors leave and revenue falls—creating a feedback mechanism that checks institutional bloat. When mandatory dues fund an organization insulated from exit, that feedback mechanism is absent. The structural question is not “do unions have overhead?” but “what happens to overhead when revenue is guaranteed and exit is constrained?”</w:t>
      </w:r>
    </w:p>
    <w:p>
      <w:pPr>
        <w:spacing w:after="80"/>
      </w:pPr>
      <w:r>
        <w:rPr>
          <w:rFonts w:ascii="Arial" w:cs="Arial" w:eastAsia="Arial" w:hAnsi="Arial"/>
          <w:b/>
          <w:bCs/>
          <w:color w:val="1a7a2e"/>
          <w:sz w:val="22"/>
          <w:szCs w:val="22"/>
        </w:rPr>
        <w:t xml:space="preserve">[Tier 1 – Public Records]</w:t>
      </w:r>
      <w:r>
        <w:rPr>
          <w:rFonts w:ascii="Georgia" w:cs="Georgia" w:eastAsia="Georgia" w:hAnsi="Georgia"/>
          <w:i/>
          <w:iCs/>
          <w:sz w:val="22"/>
          <w:szCs w:val="22"/>
        </w:rPr>
        <w:t xml:space="preserve"> LM-2 filings are federally mandated, publicly available, and independently verifiable. Source quality: Tier S. The LM-2 category limitation is a documented reporting constraint, not a speculative objection.</w:t>
      </w:r>
    </w:p>
    <w:p>
      <w:pPr>
        <w:pStyle w:val="Heading2"/>
        <w:spacing w:before="360" w:after="200"/>
      </w:pPr>
      <w:r>
        <w:rPr>
          <w:rFonts w:ascii="Arial" w:cs="Arial" w:eastAsia="Arial" w:hAnsi="Arial"/>
          <w:b/>
          <w:bCs/>
          <w:sz w:val="30"/>
          <w:szCs w:val="30"/>
        </w:rPr>
        <w:t xml:space="preserve">B. The Exit Architecture</w:t>
      </w:r>
    </w:p>
    <w:p>
      <w:pPr>
        <w:spacing w:after="200" w:line="276"/>
      </w:pPr>
      <w:r>
        <w:rPr>
          <w:rFonts w:ascii="Georgia" w:cs="Georgia" w:eastAsia="Georgia" w:hAnsi="Georgia"/>
          <w:sz w:val="24"/>
          <w:szCs w:val="24"/>
        </w:rPr>
        <w:t xml:space="preserve">The structural difficulty of exiting mandatory dues varies by jurisdiction but follows a consistent pattern of high friction. In twenty-seven states with right-to-work laws, workers cannot be compelled to pay. In the remaining states, workers in unionized shops face layered constraints.</w:t>
      </w:r>
    </w:p>
    <w:p>
      <w:pPr>
        <w:spacing w:after="200" w:line="276"/>
      </w:pPr>
      <w:r>
        <w:rPr>
          <w:rFonts w:ascii="Georgia" w:cs="Georgia" w:eastAsia="Georgia" w:hAnsi="Georgia"/>
          <w:sz w:val="24"/>
          <w:szCs w:val="24"/>
        </w:rPr>
        <w:t xml:space="preserve">Under the NLRA, workers can decline full membership and pay only agency fees—the portion attributable to representational activities—under the </w:t>
      </w:r>
      <w:r>
        <w:rPr>
          <w:rFonts w:ascii="Georgia" w:cs="Georgia" w:eastAsia="Georgia" w:hAnsi="Georgia"/>
          <w:i/>
          <w:iCs/>
          <w:sz w:val="24"/>
          <w:szCs w:val="24"/>
        </w:rPr>
        <w:t xml:space="preserve">Beck</w:t>
      </w:r>
      <w:r>
        <w:rPr>
          <w:rFonts w:ascii="Georgia" w:cs="Georgia" w:eastAsia="Georgia" w:hAnsi="Georgia"/>
          <w:sz w:val="24"/>
          <w:szCs w:val="24"/>
        </w:rPr>
        <w:t xml:space="preserve"> right (</w:t>
      </w:r>
      <w:r>
        <w:rPr>
          <w:rFonts w:ascii="Georgia" w:cs="Georgia" w:eastAsia="Georgia" w:hAnsi="Georgia"/>
          <w:i/>
          <w:iCs/>
          <w:sz w:val="24"/>
          <w:szCs w:val="24"/>
        </w:rPr>
        <w:t xml:space="preserve">Communications Workers of America v. Beck</w:t>
      </w:r>
      <w:r>
        <w:rPr>
          <w:rFonts w:ascii="Georgia" w:cs="Georgia" w:eastAsia="Georgia" w:hAnsi="Georgia"/>
          <w:sz w:val="24"/>
          <w:szCs w:val="24"/>
        </w:rPr>
        <w:t xml:space="preserve">, 1988). However, the union determines which expenses are “chargeable,” creating an asymmetry where the collecting entity also defines what it may collect. The National Right to Work Legal Defense Foundation has documented a record of successfully challenging unions that classified lobbying and political spending as chargeable representational costs—suggesting the self-assessment mechanism is not reliably accurate.</w:t>
      </w:r>
    </w:p>
    <w:p>
      <w:pPr>
        <w:spacing w:after="200" w:line="276"/>
      </w:pPr>
      <w:r>
        <w:rPr>
          <w:rFonts w:ascii="Georgia" w:cs="Georgia" w:eastAsia="Georgia" w:hAnsi="Georgia"/>
          <w:sz w:val="24"/>
          <w:szCs w:val="24"/>
        </w:rPr>
        <w:t xml:space="preserve">The Supreme Court’s 2018 ruling in </w:t>
      </w:r>
      <w:r>
        <w:rPr>
          <w:rFonts w:ascii="Georgia" w:cs="Georgia" w:eastAsia="Georgia" w:hAnsi="Georgia"/>
          <w:i/>
          <w:iCs/>
          <w:sz w:val="24"/>
          <w:szCs w:val="24"/>
        </w:rPr>
        <w:t xml:space="preserve">Janus v. AFSCME</w:t>
      </w:r>
      <w:r>
        <w:rPr>
          <w:rFonts w:ascii="Georgia" w:cs="Georgia" w:eastAsia="Georgia" w:hAnsi="Georgia"/>
          <w:sz w:val="24"/>
          <w:szCs w:val="24"/>
        </w:rPr>
        <w:t xml:space="preserve"> eliminated mandatory agency fees for public-sector workers as a First Amendment violation. The immediate aftermath provides a natural experiment in revealed preferences: AFSCME lost 98 percent of its nonmember agency-fee payers (from 112,233 to 2,215) and SEIU lost 94 percent (from 104,501 to 5,812). New York’s public-sector unions lost an estimated $100 million in annual agency fee revenue. The inference is direct: </w:t>
      </w:r>
      <w:r>
        <w:rPr>
          <w:rFonts w:ascii="Georgia" w:cs="Georgia" w:eastAsia="Georgia" w:hAnsi="Georgia"/>
          <w:i/>
          <w:iCs/>
          <w:sz w:val="24"/>
          <w:szCs w:val="24"/>
        </w:rPr>
        <w:t xml:space="preserve">once exit became trivially easy, almost everyone who had been paying involuntarily stopped</w:t>
      </w:r>
      <w:r>
        <w:rPr>
          <w:rFonts w:ascii="Georgia" w:cs="Georgia" w:eastAsia="Georgia" w:hAnsi="Georgia"/>
          <w:sz w:val="24"/>
          <w:szCs w:val="24"/>
        </w:rPr>
        <w:t xml:space="preserve">. That is empirical evidence about how many nonmember fee-payers considered the mechanism worth funding voluntarily.</w:t>
      </w:r>
    </w:p>
    <w:p>
      <w:pPr>
        <w:spacing w:after="200" w:line="276"/>
      </w:pPr>
      <w:r>
        <w:rPr>
          <w:rFonts w:ascii="Georgia" w:cs="Georgia" w:eastAsia="Georgia" w:hAnsi="Georgia"/>
          <w:sz w:val="24"/>
          <w:szCs w:val="24"/>
        </w:rPr>
        <w:t xml:space="preserve">Several states responded to </w:t>
      </w:r>
      <w:r>
        <w:rPr>
          <w:rFonts w:ascii="Georgia" w:cs="Georgia" w:eastAsia="Georgia" w:hAnsi="Georgia"/>
          <w:i/>
          <w:iCs/>
          <w:sz w:val="24"/>
          <w:szCs w:val="24"/>
        </w:rPr>
        <w:t xml:space="preserve">Janus</w:t>
      </w:r>
      <w:r>
        <w:rPr>
          <w:rFonts w:ascii="Georgia" w:cs="Georgia" w:eastAsia="Georgia" w:hAnsi="Georgia"/>
          <w:sz w:val="24"/>
          <w:szCs w:val="24"/>
        </w:rPr>
        <w:t xml:space="preserve"> by creating narrow “escape windows”—often just ten or thirty days per year—during which members could cancel dues deductions. Some states passed laws requiring new hires to meet with union representatives during work time, and providing unions with employees’ personal contact information. These measures restored exit friction through procedural design.</w:t>
      </w:r>
    </w:p>
    <w:p>
      <w:pPr>
        <w:pStyle w:val="Heading3"/>
        <w:spacing w:before="360" w:after="200"/>
      </w:pPr>
      <w:r>
        <w:rPr>
          <w:rFonts w:ascii="Arial" w:cs="Arial" w:eastAsia="Arial" w:hAnsi="Arial"/>
          <w:b/>
          <w:bCs/>
          <w:sz w:val="26"/>
          <w:szCs w:val="26"/>
        </w:rPr>
        <w:t xml:space="preserve">The Stability Counterargument</w:t>
      </w:r>
    </w:p>
    <w:p>
      <w:pPr>
        <w:spacing w:after="200" w:line="276"/>
      </w:pPr>
      <w:r>
        <w:rPr>
          <w:rFonts w:ascii="Georgia" w:cs="Georgia" w:eastAsia="Georgia" w:hAnsi="Georgia"/>
          <w:sz w:val="24"/>
          <w:szCs w:val="24"/>
        </w:rPr>
        <w:t xml:space="preserve">A serious counterargument deserves direct engagement: high-friction exit may be necessary to </w:t>
      </w:r>
      <w:r>
        <w:rPr>
          <w:rFonts w:ascii="Georgia" w:cs="Georgia" w:eastAsia="Georgia" w:hAnsi="Georgia"/>
          <w:i/>
          <w:iCs/>
          <w:sz w:val="24"/>
          <w:szCs w:val="24"/>
        </w:rPr>
        <w:t xml:space="preserve">stabilize</w:t>
      </w:r>
      <w:r>
        <w:rPr>
          <w:rFonts w:ascii="Georgia" w:cs="Georgia" w:eastAsia="Georgia" w:hAnsi="Georgia"/>
          <w:sz w:val="24"/>
          <w:szCs w:val="24"/>
        </w:rPr>
        <w:t xml:space="preserve"> bargaining units. If opt-outs are continuous and easy, membership could oscillate based on contract cycles—workers leaving during strong contracts when the union’s value is invisible, rejoining during disputes when they need representation. This would create a dynamic instability problem, undermining the long-term negotiation leverage that makes collective bargaining effective.</w:t>
      </w:r>
    </w:p>
    <w:p>
      <w:pPr>
        <w:spacing w:after="200" w:line="276"/>
      </w:pPr>
      <w:r>
        <w:rPr>
          <w:rFonts w:ascii="Georgia" w:cs="Georgia" w:eastAsia="Georgia" w:hAnsi="Georgia"/>
          <w:sz w:val="24"/>
          <w:szCs w:val="24"/>
        </w:rPr>
        <w:t xml:space="preserve">This argument has real force, and it explains why even healthy coordination mechanisms sometimes restrict exit. But it proves too much. The same logic could justify any mandatory fee structure by any organization that claims to provide diffuse long-term benefits. The question is whether the friction level in existing union security agreements is </w:t>
      </w:r>
      <w:r>
        <w:rPr>
          <w:rFonts w:ascii="Georgia" w:cs="Georgia" w:eastAsia="Georgia" w:hAnsi="Georgia"/>
          <w:i/>
          <w:iCs/>
          <w:sz w:val="24"/>
          <w:szCs w:val="24"/>
        </w:rPr>
        <w:t xml:space="preserve">calibrated</w:t>
      </w:r>
      <w:r>
        <w:rPr>
          <w:rFonts w:ascii="Georgia" w:cs="Georgia" w:eastAsia="Georgia" w:hAnsi="Georgia"/>
          <w:sz w:val="24"/>
          <w:szCs w:val="24"/>
        </w:rPr>
        <w:t xml:space="preserve"> to the stability problem or whether it </w:t>
      </w:r>
      <w:r>
        <w:rPr>
          <w:rFonts w:ascii="Georgia" w:cs="Georgia" w:eastAsia="Georgia" w:hAnsi="Georgia"/>
          <w:i/>
          <w:iCs/>
          <w:sz w:val="24"/>
          <w:szCs w:val="24"/>
        </w:rPr>
        <w:t xml:space="preserve">exceeds</w:t>
      </w:r>
      <w:r>
        <w:rPr>
          <w:rFonts w:ascii="Georgia" w:cs="Georgia" w:eastAsia="Georgia" w:hAnsi="Georgia"/>
          <w:sz w:val="24"/>
          <w:szCs w:val="24"/>
        </w:rPr>
        <w:t xml:space="preserve"> what stability requires. Thirty-day annual escape windows, combined with maintenance-of-membership provisions that continue dues deductions after resignation until the next contract, suggest the latter. A ninety-day rolling opt-out with thirty-day processing would address stability concerns without creating the near-total lock-in that current structures impose.</w:t>
      </w:r>
    </w:p>
    <w:p>
      <w:pPr>
        <w:spacing w:after="80"/>
      </w:pPr>
      <w:r>
        <w:rPr>
          <w:rFonts w:ascii="Arial" w:cs="Arial" w:eastAsia="Arial" w:hAnsi="Arial"/>
          <w:b/>
          <w:bCs/>
          <w:color w:val="1a7a2e"/>
          <w:sz w:val="22"/>
          <w:szCs w:val="22"/>
        </w:rPr>
        <w:t xml:space="preserve">[Tier 1 – Public Records]</w:t>
      </w:r>
      <w:r>
        <w:rPr>
          <w:rFonts w:ascii="Georgia" w:cs="Georgia" w:eastAsia="Georgia" w:hAnsi="Georgia"/>
          <w:i/>
          <w:iCs/>
          <w:sz w:val="22"/>
          <w:szCs w:val="22"/>
        </w:rPr>
        <w:t xml:space="preserve"> Supreme Court decisions, LM-2 filings, state statutory provisions, and post-Janus membership data from union financial disclosures. Source quality: Tier S.</w:t>
      </w:r>
    </w:p>
    <w:p>
      <w:pPr>
        <w:pStyle w:val="Heading2"/>
        <w:spacing w:before="360" w:after="200"/>
      </w:pPr>
      <w:r>
        <w:rPr>
          <w:rFonts w:ascii="Arial" w:cs="Arial" w:eastAsia="Arial" w:hAnsi="Arial"/>
          <w:b/>
          <w:bCs/>
          <w:sz w:val="30"/>
          <w:szCs w:val="30"/>
        </w:rPr>
        <w:t xml:space="preserve">C. Temporal Drift</w:t>
      </w:r>
    </w:p>
    <w:p>
      <w:pPr>
        <w:spacing w:after="200" w:line="276"/>
      </w:pPr>
      <w:r>
        <w:rPr>
          <w:rFonts w:ascii="Georgia" w:cs="Georgia" w:eastAsia="Georgia" w:hAnsi="Georgia"/>
          <w:sz w:val="24"/>
          <w:szCs w:val="24"/>
        </w:rPr>
        <w:t xml:space="preserve">The DR framework models a gradual shift from functional representation toward institutional self-preservation—a pattern consistent with what organizational theorists call Goodhart drift, where a metric designed to track performance becomes the target itself while the underlying function atrophies.</w:t>
      </w:r>
    </w:p>
    <w:p>
      <w:pPr>
        <w:spacing w:after="200" w:line="276"/>
      </w:pPr>
      <w:r>
        <w:rPr>
          <w:rFonts w:ascii="Georgia" w:cs="Georgia" w:eastAsia="Georgia" w:hAnsi="Georgia"/>
          <w:sz w:val="24"/>
          <w:szCs w:val="24"/>
        </w:rPr>
        <w:t xml:space="preserve">This pattern has documented correlates: union density has declined from 26.7 percent of the workforce in 1973 to approximately 10 percent by 2024, and the wage premium has narrowed from historical levels of 21–32 percent to roughly 16 percent. However, it is important to acknowledge that density decline is heavily multi-causal—deindustrialization, globalization, automation, employer anti-union strategies, right-to-work expansion, and the shift to service and technology sectors where organizing is structurally harder all play significant roles. Attributing density decline primarily to institutional drift would be overclaiming.</w:t>
      </w:r>
    </w:p>
    <w:p>
      <w:pPr>
        <w:spacing w:after="200" w:line="276"/>
      </w:pPr>
      <w:r>
        <w:rPr>
          <w:rFonts w:ascii="Georgia" w:cs="Georgia" w:eastAsia="Georgia" w:hAnsi="Georgia"/>
          <w:sz w:val="24"/>
          <w:szCs w:val="24"/>
        </w:rPr>
        <w:t xml:space="preserve">What the temporal data </w:t>
      </w:r>
      <w:r>
        <w:rPr>
          <w:rFonts w:ascii="Georgia" w:cs="Georgia" w:eastAsia="Georgia" w:hAnsi="Georgia"/>
          <w:i/>
          <w:iCs/>
          <w:sz w:val="24"/>
          <w:szCs w:val="24"/>
        </w:rPr>
        <w:t xml:space="preserve">can</w:t>
      </w:r>
      <w:r>
        <w:rPr>
          <w:rFonts w:ascii="Georgia" w:cs="Georgia" w:eastAsia="Georgia" w:hAnsi="Georgia"/>
          <w:sz w:val="24"/>
          <w:szCs w:val="24"/>
        </w:rPr>
        <w:t xml:space="preserve"> support is a more modest inference: the spending patterns documented in Section III.A represent a snapshot, not necessarily a permanent state. If representational spending ratios have declined over time while overhead has grown, that would be consistent with drift. If ratios have been stable for decades, the pattern may reflect inherent organizational structure rather than decay. </w:t>
      </w:r>
      <w:r>
        <w:rPr>
          <w:rFonts w:ascii="Georgia" w:cs="Georgia" w:eastAsia="Georgia" w:hAnsi="Georgia"/>
          <w:b/>
          <w:bCs/>
          <w:sz w:val="24"/>
          <w:szCs w:val="24"/>
        </w:rPr>
        <w:t xml:space="preserve">This is an empirical question that could be resolved by longitudinal analysis of LM-2 filings</w:t>
      </w:r>
      <w:r>
        <w:rPr>
          <w:rFonts w:ascii="Georgia" w:cs="Georgia" w:eastAsia="Georgia" w:hAnsi="Georgia"/>
          <w:sz w:val="24"/>
          <w:szCs w:val="24"/>
        </w:rPr>
        <w:t xml:space="preserve">, which the Department of Labor has maintained in digitized form since the early 2000s but which has not been systematically studied for temporal trends in spending allocation.</w:t>
      </w:r>
    </w:p>
    <w:p>
      <w:pPr>
        <w:spacing w:after="80"/>
      </w:pPr>
      <w:r>
        <w:rPr>
          <w:rFonts w:ascii="Arial" w:cs="Arial" w:eastAsia="Arial" w:hAnsi="Arial"/>
          <w:b/>
          <w:bCs/>
          <w:color w:val="c27a00"/>
          <w:sz w:val="22"/>
          <w:szCs w:val="22"/>
        </w:rPr>
        <w:t xml:space="preserve">[Tier 2 – Pattern Inference]</w:t>
      </w:r>
      <w:r>
        <w:rPr>
          <w:rFonts w:ascii="Georgia" w:cs="Georgia" w:eastAsia="Georgia" w:hAnsi="Georgia"/>
          <w:i/>
          <w:iCs/>
          <w:sz w:val="22"/>
          <w:szCs w:val="22"/>
        </w:rPr>
        <w:t xml:space="preserve"> The direction is supported by data; the specific trajectory is model-generated and interpretive. Temporal drift is the weakest of the three evidence lines and the argument does not depend on it.</w:t>
      </w:r>
    </w:p>
    <w:p>
      <w:pPr>
        <w:pStyle w:val="Heading1"/>
        <w:spacing w:before="360" w:after="200"/>
      </w:pPr>
      <w:r>
        <w:rPr>
          <w:rFonts w:ascii="Arial" w:cs="Arial" w:eastAsia="Arial" w:hAnsi="Arial"/>
          <w:b/>
          <w:bCs/>
          <w:sz w:val="36"/>
          <w:szCs w:val="36"/>
        </w:rPr>
        <w:t xml:space="preserve">IV. A Necessary Distinction: Public and Private Sectors</w:t>
      </w:r>
    </w:p>
    <w:p>
      <w:pPr>
        <w:spacing w:after="200" w:line="276"/>
      </w:pPr>
      <w:r>
        <w:rPr>
          <w:rFonts w:ascii="Georgia" w:cs="Georgia" w:eastAsia="Georgia" w:hAnsi="Georgia"/>
          <w:sz w:val="24"/>
          <w:szCs w:val="24"/>
        </w:rPr>
        <w:t xml:space="preserve">Many of the most striking examples in the spending and exit data—UFT, MFPE, AFSCME, SEIU post-</w:t>
      </w:r>
      <w:r>
        <w:rPr>
          <w:rFonts w:ascii="Georgia" w:cs="Georgia" w:eastAsia="Georgia" w:hAnsi="Georgia"/>
          <w:i/>
          <w:iCs/>
          <w:sz w:val="24"/>
          <w:szCs w:val="24"/>
        </w:rPr>
        <w:t xml:space="preserve">Janus</w:t>
      </w:r>
      <w:r>
        <w:rPr>
          <w:rFonts w:ascii="Georgia" w:cs="Georgia" w:eastAsia="Georgia" w:hAnsi="Georgia"/>
          <w:sz w:val="24"/>
          <w:szCs w:val="24"/>
        </w:rPr>
        <w:t xml:space="preserve">—are public-sector unions. The dynamics differ in important ways. Public-sector unions bargain with government officials whom they help elect through political spending funded partly by dues. This creates a feedback loop absent in private-sector bargaining: the employer-side negotiator has political incentives to accommodate the union, and the union’s political spending directly shapes who sits across the table. Market discipline is also weaker—a public agency cannot relocate to a lower-cost jurisdiction the way a private firm can.</w:t>
      </w:r>
    </w:p>
    <w:p>
      <w:pPr>
        <w:spacing w:after="200" w:line="276"/>
      </w:pPr>
      <w:r>
        <w:rPr>
          <w:rFonts w:ascii="Georgia" w:cs="Georgia" w:eastAsia="Georgia" w:hAnsi="Georgia"/>
          <w:sz w:val="24"/>
          <w:szCs w:val="24"/>
        </w:rPr>
        <w:t xml:space="preserve">Private-sector unions face more competitive pressure. Firm profitability constrains what employers can concede, and capital mobility limits how far wages can rise above market rates before employers restructure or relocate. This competitive pressure may partially check the institutional self-preservation dynamics described above.</w:t>
      </w:r>
    </w:p>
    <w:p>
      <w:pPr>
        <w:spacing w:after="200" w:line="276"/>
      </w:pPr>
      <w:r>
        <w:rPr>
          <w:rFonts w:ascii="Georgia" w:cs="Georgia" w:eastAsia="Georgia" w:hAnsi="Georgia"/>
          <w:sz w:val="24"/>
          <w:szCs w:val="24"/>
        </w:rPr>
        <w:t xml:space="preserve">The policy recommendations in this essay apply primarily to private-sector non-right-to-work states, where </w:t>
      </w:r>
      <w:r>
        <w:rPr>
          <w:rFonts w:ascii="Georgia" w:cs="Georgia" w:eastAsia="Georgia" w:hAnsi="Georgia"/>
          <w:i/>
          <w:iCs/>
          <w:sz w:val="24"/>
          <w:szCs w:val="24"/>
        </w:rPr>
        <w:t xml:space="preserve">Janus</w:t>
      </w:r>
      <w:r>
        <w:rPr>
          <w:rFonts w:ascii="Georgia" w:cs="Georgia" w:eastAsia="Georgia" w:hAnsi="Georgia"/>
          <w:sz w:val="24"/>
          <w:szCs w:val="24"/>
        </w:rPr>
        <w:t xml:space="preserve"> does not reach and where mandatory dues remain legally operative. The structural dynamics described here may be more pronounced in the public sector, but the remedies for that sector are largely constitutional (</w:t>
      </w:r>
      <w:r>
        <w:rPr>
          <w:rFonts w:ascii="Georgia" w:cs="Georgia" w:eastAsia="Georgia" w:hAnsi="Georgia"/>
          <w:i/>
          <w:iCs/>
          <w:sz w:val="24"/>
          <w:szCs w:val="24"/>
        </w:rPr>
        <w:t xml:space="preserve">Janus</w:t>
      </w:r>
      <w:r>
        <w:rPr>
          <w:rFonts w:ascii="Georgia" w:cs="Georgia" w:eastAsia="Georgia" w:hAnsi="Georgia"/>
          <w:sz w:val="24"/>
          <w:szCs w:val="24"/>
        </w:rPr>
        <w:t xml:space="preserve"> itself) rather than regulatory.</w:t>
      </w:r>
    </w:p>
    <w:p>
      <w:pPr>
        <w:pStyle w:val="Heading1"/>
        <w:spacing w:before="360" w:after="200"/>
      </w:pPr>
      <w:r>
        <w:rPr>
          <w:rFonts w:ascii="Arial" w:cs="Arial" w:eastAsia="Arial" w:hAnsi="Arial"/>
          <w:b/>
          <w:bCs/>
          <w:sz w:val="36"/>
          <w:szCs w:val="36"/>
        </w:rPr>
        <w:t xml:space="preserve">V. Alternative Explanations</w:t>
      </w:r>
    </w:p>
    <w:p>
      <w:pPr>
        <w:spacing w:after="200" w:line="276"/>
      </w:pPr>
      <w:r>
        <w:rPr>
          <w:rFonts w:ascii="Georgia" w:cs="Georgia" w:eastAsia="Georgia" w:hAnsi="Georgia"/>
          <w:sz w:val="24"/>
          <w:szCs w:val="24"/>
        </w:rPr>
        <w:t xml:space="preserve">Before asserting that mandatory dues structures mask extraction, simpler explanations must be addressed.</w:t>
      </w:r>
    </w:p>
    <w:p>
      <w:pPr>
        <w:pStyle w:val="Heading2"/>
        <w:spacing w:before="360" w:after="200"/>
      </w:pPr>
      <w:r>
        <w:rPr>
          <w:rFonts w:ascii="Arial" w:cs="Arial" w:eastAsia="Arial" w:hAnsi="Arial"/>
          <w:b/>
          <w:bCs/>
          <w:sz w:val="30"/>
          <w:szCs w:val="30"/>
        </w:rPr>
        <w:t xml:space="preserve">The Free-Rider Explanation</w:t>
      </w:r>
    </w:p>
    <w:p>
      <w:pPr>
        <w:spacing w:after="200" w:line="276"/>
      </w:pPr>
      <w:r>
        <w:rPr>
          <w:rFonts w:ascii="Georgia" w:cs="Georgia" w:eastAsia="Georgia" w:hAnsi="Georgia"/>
          <w:sz w:val="24"/>
          <w:szCs w:val="24"/>
        </w:rPr>
        <w:t xml:space="preserve">The simplest and strongest alternative: mandatory dues solve a genuine collective action problem. Under the exclusive representation model embedded in U.S. labor law, unions must represent all workers in a bargaining unit, including nonmembers. Without mandatory contributions, rational workers would free-ride on union-negotiated benefits while paying nothing—the classic Olsonian collective action failure.</w:t>
      </w:r>
    </w:p>
    <w:p>
      <w:pPr>
        <w:spacing w:after="200" w:line="276"/>
      </w:pPr>
      <w:r>
        <w:rPr>
          <w:rFonts w:ascii="Georgia" w:cs="Georgia" w:eastAsia="Georgia" w:hAnsi="Georgia"/>
          <w:sz w:val="24"/>
          <w:szCs w:val="24"/>
        </w:rPr>
        <w:t xml:space="preserve">This argument is stronger than many union critics acknowledge. The free-rider problem is not hypothetical; the post-</w:t>
      </w:r>
      <w:r>
        <w:rPr>
          <w:rFonts w:ascii="Georgia" w:cs="Georgia" w:eastAsia="Georgia" w:hAnsi="Georgia"/>
          <w:i/>
          <w:iCs/>
          <w:sz w:val="24"/>
          <w:szCs w:val="24"/>
        </w:rPr>
        <w:t xml:space="preserve">Janus</w:t>
      </w:r>
      <w:r>
        <w:rPr>
          <w:rFonts w:ascii="Georgia" w:cs="Georgia" w:eastAsia="Georgia" w:hAnsi="Georgia"/>
          <w:sz w:val="24"/>
          <w:szCs w:val="24"/>
        </w:rPr>
        <w:t xml:space="preserve"> data demonstrates it. When agency fees were eliminated, AFSCME and SEIU lost the vast majority of their nonmember fee-payers, but those workers continued receiving union-negotiated wages and benefits. The free-rider problem is real, severe, and potentially existential for unions operating under exclusive representation.</w:t>
      </w:r>
    </w:p>
    <w:p>
      <w:pPr>
        <w:spacing w:after="200" w:line="276"/>
      </w:pPr>
      <w:r>
        <w:rPr>
          <w:rFonts w:ascii="Georgia" w:cs="Georgia" w:eastAsia="Georgia" w:hAnsi="Georgia"/>
          <w:b/>
          <w:bCs/>
          <w:sz w:val="24"/>
          <w:szCs w:val="24"/>
        </w:rPr>
        <w:t xml:space="preserve">Why this explanation is insufficient on its own: </w:t>
      </w:r>
      <w:r>
        <w:rPr>
          <w:rFonts w:ascii="Georgia" w:cs="Georgia" w:eastAsia="Georgia" w:hAnsi="Georgia"/>
          <w:sz w:val="24"/>
          <w:szCs w:val="24"/>
        </w:rPr>
        <w:t xml:space="preserve">The free-rider problem justifies </w:t>
      </w:r>
      <w:r>
        <w:rPr>
          <w:rFonts w:ascii="Georgia" w:cs="Georgia" w:eastAsia="Georgia" w:hAnsi="Georgia"/>
          <w:i/>
          <w:iCs/>
          <w:sz w:val="24"/>
          <w:szCs w:val="24"/>
        </w:rPr>
        <w:t xml:space="preserve">some</w:t>
      </w:r>
      <w:r>
        <w:rPr>
          <w:rFonts w:ascii="Georgia" w:cs="Georgia" w:eastAsia="Georgia" w:hAnsi="Georgia"/>
          <w:sz w:val="24"/>
          <w:szCs w:val="24"/>
        </w:rPr>
        <w:t xml:space="preserve"> mandatory contribution mechanism. It does not justify the </w:t>
      </w:r>
      <w:r>
        <w:rPr>
          <w:rFonts w:ascii="Georgia" w:cs="Georgia" w:eastAsia="Georgia" w:hAnsi="Georgia"/>
          <w:i/>
          <w:iCs/>
          <w:sz w:val="24"/>
          <w:szCs w:val="24"/>
        </w:rPr>
        <w:t xml:space="preserve">specific structure</w:t>
      </w:r>
      <w:r>
        <w:rPr>
          <w:rFonts w:ascii="Georgia" w:cs="Georgia" w:eastAsia="Georgia" w:hAnsi="Georgia"/>
          <w:sz w:val="24"/>
          <w:szCs w:val="24"/>
        </w:rPr>
        <w:t xml:space="preserve"> of existing dues systems. Three features diverge from what a pure coordination mechanism would require. First, the entity collecting dues determines what counts as “chargeable”—a structural conflict of interest absent in most analogous fee structures (utility rates, condo association fees, and professional licensing fees are all set or reviewed by independent bodies). Second, spending patterns show less than half of revenue directed to the narrowly-defined representational category in multiple audited cases, even accounting for the LM-2 classification limitations discussed above. Third, exit mechanisms are designed to maximize friction beyond what stability requires. A mandatory mechanism that was transparent about costs, independently audited, and structured with meaningful (not trivially easy, but genuinely accessible) exit options would solve the free-rider problem without the structural features flagged here.</w:t>
      </w:r>
    </w:p>
    <w:p>
      <w:pPr>
        <w:pStyle w:val="Heading2"/>
        <w:spacing w:before="360" w:after="200"/>
      </w:pPr>
      <w:r>
        <w:rPr>
          <w:rFonts w:ascii="Arial" w:cs="Arial" w:eastAsia="Arial" w:hAnsi="Arial"/>
          <w:b/>
          <w:bCs/>
          <w:sz w:val="30"/>
          <w:szCs w:val="30"/>
        </w:rPr>
        <w:t xml:space="preserve">The Institutional Inertia Explanation</w:t>
      </w:r>
    </w:p>
    <w:p>
      <w:pPr>
        <w:spacing w:after="200" w:line="276"/>
      </w:pPr>
      <w:r>
        <w:rPr>
          <w:rFonts w:ascii="Georgia" w:cs="Georgia" w:eastAsia="Georgia" w:hAnsi="Georgia"/>
          <w:sz w:val="24"/>
          <w:szCs w:val="24"/>
        </w:rPr>
        <w:t xml:space="preserve">A second alternative: dues structures reflect ordinary bureaucratic bloat rather than intentional extraction. All large organizations develop overhead. This is not a union-specific problem.</w:t>
      </w:r>
    </w:p>
    <w:p>
      <w:pPr>
        <w:spacing w:after="200" w:line="276"/>
      </w:pPr>
      <w:r>
        <w:rPr>
          <w:rFonts w:ascii="Georgia" w:cs="Georgia" w:eastAsia="Georgia" w:hAnsi="Georgia"/>
          <w:b/>
          <w:bCs/>
          <w:sz w:val="24"/>
          <w:szCs w:val="24"/>
        </w:rPr>
        <w:t xml:space="preserve">Why this explanation is insufficient on its own: </w:t>
      </w:r>
      <w:r>
        <w:rPr>
          <w:rFonts w:ascii="Georgia" w:cs="Georgia" w:eastAsia="Georgia" w:hAnsi="Georgia"/>
          <w:sz w:val="24"/>
          <w:szCs w:val="24"/>
        </w:rPr>
        <w:t xml:space="preserve">Institutional inertia is undoubtedly a contributing factor, but it does not explain why the feedback mechanism that normally checks bloat is absent. Organizations funded by voluntary contributions—nonprofits, professional associations, advocacy groups—face market discipline when overhead drifts high: donors and members leave. Unions in non-right-to-work states face no equivalent pressure. Analysis of LM-2 data has found that unions in non-right-to-work states charged higher dues and paid officers larger salaries than unions in right-to-work states—consistent with what economic theory predicts when a revenue source is insulated from competitive pressure. (This finding, based on 2005–2013 data, requires updating with post-</w:t>
      </w:r>
      <w:r>
        <w:rPr>
          <w:rFonts w:ascii="Georgia" w:cs="Georgia" w:eastAsia="Georgia" w:hAnsi="Georgia"/>
          <w:i/>
          <w:iCs/>
          <w:sz w:val="24"/>
          <w:szCs w:val="24"/>
        </w:rPr>
        <w:t xml:space="preserve">Janus</w:t>
      </w:r>
      <w:r>
        <w:rPr>
          <w:rFonts w:ascii="Georgia" w:cs="Georgia" w:eastAsia="Georgia" w:hAnsi="Georgia"/>
          <w:sz w:val="24"/>
          <w:szCs w:val="24"/>
        </w:rPr>
        <w:t xml:space="preserve"> filings to determine whether the pattern persists; it should be treated as a hypothesis, not a settled fact.)</w:t>
      </w:r>
    </w:p>
    <w:p>
      <w:pPr>
        <w:pStyle w:val="Heading2"/>
        <w:spacing w:before="360" w:after="200"/>
      </w:pPr>
      <w:r>
        <w:rPr>
          <w:rFonts w:ascii="Arial" w:cs="Arial" w:eastAsia="Arial" w:hAnsi="Arial"/>
          <w:b/>
          <w:bCs/>
          <w:sz w:val="30"/>
          <w:szCs w:val="30"/>
        </w:rPr>
        <w:t xml:space="preserve">The Distinguishing Evidence</w:t>
      </w:r>
    </w:p>
    <w:p>
      <w:pPr>
        <w:spacing w:after="200" w:line="276"/>
      </w:pPr>
      <w:r>
        <w:rPr>
          <w:rFonts w:ascii="Georgia" w:cs="Georgia" w:eastAsia="Georgia" w:hAnsi="Georgia"/>
          <w:sz w:val="24"/>
          <w:szCs w:val="24"/>
        </w:rPr>
        <w:t xml:space="preserve">What separates the “coordination-washed” hypothesis from simpler explanations is the </w:t>
      </w:r>
      <w:r>
        <w:rPr>
          <w:rFonts w:ascii="Georgia" w:cs="Georgia" w:eastAsia="Georgia" w:hAnsi="Georgia"/>
          <w:b/>
          <w:bCs/>
          <w:sz w:val="24"/>
          <w:szCs w:val="24"/>
        </w:rPr>
        <w:t xml:space="preserve">combination</w:t>
      </w:r>
      <w:r>
        <w:rPr>
          <w:rFonts w:ascii="Georgia" w:cs="Georgia" w:eastAsia="Georgia" w:hAnsi="Georgia"/>
          <w:sz w:val="24"/>
          <w:szCs w:val="24"/>
        </w:rPr>
        <w:t xml:space="preserve"> of three features that no single alternative fully explains: (1) the collecting entity defines its own entitlement, (2) representation spending is consistently a minority of total spending across multiple independently verified filings, and (3) exit architecture is calibrated for maximum friction. Each feature alone is explainable by some combination of free-riding concerns and institutional inertia. Together, they produce a system that </w:t>
      </w:r>
      <w:r>
        <w:rPr>
          <w:rFonts w:ascii="Georgia" w:cs="Georgia" w:eastAsia="Georgia" w:hAnsi="Georgia"/>
          <w:i/>
          <w:iCs/>
          <w:sz w:val="24"/>
          <w:szCs w:val="24"/>
        </w:rPr>
        <w:t xml:space="preserve">structurally resembles</w:t>
      </w:r>
      <w:r>
        <w:rPr>
          <w:rFonts w:ascii="Georgia" w:cs="Georgia" w:eastAsia="Georgia" w:hAnsi="Georgia"/>
          <w:sz w:val="24"/>
          <w:szCs w:val="24"/>
        </w:rPr>
        <w:t xml:space="preserve"> a mechanism optimized for institutional revenue rather than worker benefit—even if no individual actor designed it that way.</w:t>
      </w:r>
    </w:p>
    <w:p>
      <w:pPr>
        <w:spacing w:after="80"/>
      </w:pPr>
      <w:r>
        <w:rPr>
          <w:rFonts w:ascii="Arial" w:cs="Arial" w:eastAsia="Arial" w:hAnsi="Arial"/>
          <w:b/>
          <w:bCs/>
          <w:color w:val="c27a00"/>
          <w:sz w:val="22"/>
          <w:szCs w:val="22"/>
        </w:rPr>
        <w:t xml:space="preserve">[Tier 2 – Pattern Inference]</w:t>
      </w:r>
      <w:r>
        <w:rPr>
          <w:rFonts w:ascii="Georgia" w:cs="Georgia" w:eastAsia="Georgia" w:hAnsi="Georgia"/>
          <w:i/>
          <w:iCs/>
          <w:sz w:val="22"/>
          <w:szCs w:val="22"/>
        </w:rPr>
        <w:t xml:space="preserve"> The perspectival gap inference combines Tier 1 facts with structural analysis. The non-RTW vs. RTW dues comparison requires updating and should be treated as a hypothesis pending current data.</w:t>
      </w:r>
    </w:p>
    <w:p>
      <w:pPr>
        <w:pStyle w:val="Heading1"/>
        <w:spacing w:before="360" w:after="200"/>
      </w:pPr>
      <w:r>
        <w:rPr>
          <w:rFonts w:ascii="Arial" w:cs="Arial" w:eastAsia="Arial" w:hAnsi="Arial"/>
          <w:b/>
          <w:bCs/>
          <w:sz w:val="36"/>
          <w:szCs w:val="36"/>
        </w:rPr>
        <w:t xml:space="preserve">VI. What the Model Cannot Tell Us</w:t>
      </w:r>
    </w:p>
    <w:p>
      <w:pPr>
        <w:spacing w:after="200" w:line="276"/>
      </w:pPr>
      <w:r>
        <w:rPr>
          <w:rFonts w:ascii="Georgia" w:cs="Georgia" w:eastAsia="Georgia" w:hAnsi="Georgia"/>
          <w:sz w:val="24"/>
          <w:szCs w:val="24"/>
        </w:rPr>
        <w:t xml:space="preserve">The Deferential Realism framework used in this analysis is an interpretive tool with specific limitations.</w:t>
      </w:r>
    </w:p>
    <w:p>
      <w:pPr>
        <w:spacing w:after="200" w:line="276"/>
      </w:pPr>
      <w:r>
        <w:rPr>
          <w:rFonts w:ascii="Georgia" w:cs="Georgia" w:eastAsia="Georgia" w:hAnsi="Georgia"/>
          <w:b/>
          <w:bCs/>
          <w:sz w:val="24"/>
          <w:szCs w:val="24"/>
        </w:rPr>
        <w:t xml:space="preserve">Methodology: </w:t>
      </w:r>
      <w:r>
        <w:rPr>
          <w:rFonts w:ascii="Georgia" w:cs="Georgia" w:eastAsia="Georgia" w:hAnsi="Georgia"/>
          <w:sz w:val="24"/>
          <w:szCs w:val="24"/>
        </w:rPr>
        <w:t xml:space="preserve">The framework assigns scores based on coded inputs from publicly available institutional data, processed through mathematical functions to generate constraint classifications. It has been tested across hundreds of domains but has not been independently peer-reviewed. Its quantitative outputs should be treated as structured hypotheses that organize evidence, not as measurements with the precision their decimal notation might imply.</w:t>
      </w:r>
    </w:p>
    <w:p>
      <w:pPr>
        <w:spacing w:after="200" w:line="276"/>
      </w:pPr>
      <w:r>
        <w:rPr>
          <w:rFonts w:ascii="Georgia" w:cs="Georgia" w:eastAsia="Georgia" w:hAnsi="Georgia"/>
          <w:b/>
          <w:bCs/>
          <w:sz w:val="24"/>
          <w:szCs w:val="24"/>
        </w:rPr>
        <w:t xml:space="preserve">What the model can do: </w:t>
      </w:r>
      <w:r>
        <w:rPr>
          <w:rFonts w:ascii="Georgia" w:cs="Georgia" w:eastAsia="Georgia" w:hAnsi="Georgia"/>
          <w:sz w:val="24"/>
          <w:szCs w:val="24"/>
        </w:rPr>
        <w:t xml:space="preserve">Identify structural patterns, flag perspectival gaps, and generate falsifiable hypotheses about institutional behavior. Specifically, it produces the hypothesis that mandatory dues mechanisms will exhibit asymmetric benefit flows, and it specifies what evidence would confirm or refute that hypothesis.</w:t>
      </w:r>
    </w:p>
    <w:p>
      <w:pPr>
        <w:spacing w:after="200" w:line="276"/>
      </w:pPr>
      <w:r>
        <w:rPr>
          <w:rFonts w:ascii="Georgia" w:cs="Georgia" w:eastAsia="Georgia" w:hAnsi="Georgia"/>
          <w:b/>
          <w:bCs/>
          <w:sz w:val="24"/>
          <w:szCs w:val="24"/>
        </w:rPr>
        <w:t xml:space="preserve">What the model cannot do: </w:t>
      </w:r>
      <w:r>
        <w:rPr>
          <w:rFonts w:ascii="Georgia" w:cs="Georgia" w:eastAsia="Georgia" w:hAnsi="Georgia"/>
          <w:sz w:val="24"/>
          <w:szCs w:val="24"/>
        </w:rPr>
        <w:t xml:space="preserve">Prove intent, establish causation, or substitute for empirical measurement of actual grievance throughput, worker satisfaction, or benefit-cost ratios at specific locals. It also cannot distinguish between extraction and legitimate institutional overhead without external data.</w:t>
      </w:r>
    </w:p>
    <w:p>
      <w:pPr>
        <w:spacing w:after="200" w:line="276"/>
      </w:pPr>
      <w:r>
        <w:rPr>
          <w:rFonts w:ascii="Georgia" w:cs="Georgia" w:eastAsia="Georgia" w:hAnsi="Georgia"/>
          <w:b/>
          <w:bCs/>
          <w:sz w:val="24"/>
          <w:szCs w:val="24"/>
        </w:rPr>
        <w:t xml:space="preserve">The critical omega variable: </w:t>
      </w:r>
      <w:r>
        <w:rPr>
          <w:rFonts w:ascii="Georgia" w:cs="Georgia" w:eastAsia="Georgia" w:hAnsi="Georgia"/>
          <w:i/>
          <w:iCs/>
          <w:sz w:val="24"/>
          <w:szCs w:val="24"/>
        </w:rPr>
        <w:t xml:space="preserve">Is the grievance mechanism effectively processing claims, or has it atrophied? </w:t>
      </w:r>
      <w:r>
        <w:rPr>
          <w:rFonts w:ascii="Georgia" w:cs="Georgia" w:eastAsia="Georgia" w:hAnsi="Georgia"/>
          <w:sz w:val="24"/>
          <w:szCs w:val="24"/>
        </w:rPr>
        <w:t xml:space="preserve">This question cannot be resolved by structural analysis alone. It requires empirical investigation: analysis of grievance-to-dues throughput ratios across a statistically meaningful sample of union locals over at least five years.</w:t>
      </w:r>
    </w:p>
    <w:p>
      <w:pPr>
        <w:spacing w:after="200" w:line="276"/>
      </w:pPr>
      <w:r>
        <w:rPr>
          <w:rFonts w:ascii="Georgia" w:cs="Georgia" w:eastAsia="Georgia" w:hAnsi="Georgia"/>
          <w:b/>
          <w:bCs/>
          <w:sz w:val="24"/>
          <w:szCs w:val="24"/>
        </w:rPr>
        <w:t xml:space="preserve">A crucial ambiguity: </w:t>
      </w:r>
      <w:r>
        <w:rPr>
          <w:rFonts w:ascii="Georgia" w:cs="Georgia" w:eastAsia="Georgia" w:hAnsi="Georgia"/>
          <w:sz w:val="24"/>
          <w:szCs w:val="24"/>
        </w:rPr>
        <w:t xml:space="preserve">Low grievance throughput could mean two very different things. It could indicate that the mechanism has atrophied—dues are collected but grievances are not meaningfully processed, supporting the extraction hypothesis. Or it could indicate </w:t>
      </w:r>
      <w:r>
        <w:rPr>
          <w:rFonts w:ascii="Georgia" w:cs="Georgia" w:eastAsia="Georgia" w:hAnsi="Georgia"/>
          <w:i/>
          <w:iCs/>
          <w:sz w:val="24"/>
          <w:szCs w:val="24"/>
        </w:rPr>
        <w:t xml:space="preserve">successful deterrence</w:t>
      </w:r>
      <w:r>
        <w:rPr>
          <w:rFonts w:ascii="Georgia" w:cs="Georgia" w:eastAsia="Georgia" w:hAnsi="Georgia"/>
          <w:sz w:val="24"/>
          <w:szCs w:val="24"/>
        </w:rPr>
        <w:t xml:space="preserve">—the union’s presence and contract strength prevent employer violations, so few grievances need filing. Distinguishing between these requires supplementary data: worker satisfaction surveys, contract violation rates, comparison between high-throughput and low-throughput locals with similar employer profiles. Without such data, throughput alone is ambiguous. The omega variable is better framed as a </w:t>
      </w:r>
      <w:r>
        <w:rPr>
          <w:rFonts w:ascii="Georgia" w:cs="Georgia" w:eastAsia="Georgia" w:hAnsi="Georgia"/>
          <w:i/>
          <w:iCs/>
          <w:sz w:val="24"/>
          <w:szCs w:val="24"/>
        </w:rPr>
        <w:t xml:space="preserve">package</w:t>
      </w:r>
      <w:r>
        <w:rPr>
          <w:rFonts w:ascii="Georgia" w:cs="Georgia" w:eastAsia="Georgia" w:hAnsi="Georgia"/>
          <w:sz w:val="24"/>
          <w:szCs w:val="24"/>
        </w:rPr>
        <w:t xml:space="preserve"> of measurements—throughput, resolution rates, satisfaction, and deterrence proxies—rather than a single number.</w:t>
      </w:r>
    </w:p>
    <w:p>
      <w:pPr>
        <w:spacing w:after="80"/>
      </w:pPr>
      <w:r>
        <w:rPr>
          <w:rFonts w:ascii="Arial" w:cs="Arial" w:eastAsia="Arial" w:hAnsi="Arial"/>
          <w:b/>
          <w:bCs/>
          <w:color w:val="8b0000"/>
          <w:sz w:val="22"/>
          <w:szCs w:val="22"/>
        </w:rPr>
        <w:t xml:space="preserve">[Tier 3 – Hypothesis]</w:t>
      </w:r>
      <w:r>
        <w:rPr>
          <w:rFonts w:ascii="Georgia" w:cs="Georgia" w:eastAsia="Georgia" w:hAnsi="Georgia"/>
          <w:i/>
          <w:iCs/>
          <w:sz w:val="22"/>
          <w:szCs w:val="22"/>
        </w:rPr>
        <w:t xml:space="preserve"> The omega variable identifies what evidence would resolve the classification. Falsification condition: if a comprehensive package of throughput, satisfaction, and deterrence measures demonstrates that dues revenue generates measurable worker benefit at rates comparable to voluntary professional-services organizations, the extraction hypothesis weakens substantially.</w:t>
      </w:r>
    </w:p>
    <w:p>
      <w:pPr>
        <w:pStyle w:val="Heading1"/>
        <w:spacing w:before="360" w:after="200"/>
      </w:pPr>
      <w:r>
        <w:rPr>
          <w:rFonts w:ascii="Arial" w:cs="Arial" w:eastAsia="Arial" w:hAnsi="Arial"/>
          <w:b/>
          <w:bCs/>
          <w:sz w:val="36"/>
          <w:szCs w:val="36"/>
        </w:rPr>
        <w:t xml:space="preserve">VII. The Wage Premium: Real But Not Dispositive</w:t>
      </w:r>
    </w:p>
    <w:p>
      <w:pPr>
        <w:spacing w:after="200" w:line="276"/>
      </w:pPr>
      <w:r>
        <w:rPr>
          <w:rFonts w:ascii="Georgia" w:cs="Georgia" w:eastAsia="Georgia" w:hAnsi="Georgia"/>
          <w:sz w:val="24"/>
          <w:szCs w:val="24"/>
        </w:rPr>
        <w:t xml:space="preserve">The union wage premium is real and significant. Bureau of Labor Statistics data for 2024 shows union-represented workers earning median weekly wages of $1,320 versus $1,138 for nonunion workers. Academic research consistently estimates the premium at 10–20 percent after controlling for experience, education, region, industry, occupation, and demographics, with the premium being larger for lower-wage workers—reducing wage inequality within the unionized sector. Unionized workers are 28.2 percent more likely to have employer-provided health insurance and 53.9 percent more likely to have employer-provided pensions. These are substantial, documented benefits.</w:t>
      </w:r>
    </w:p>
    <w:p>
      <w:pPr>
        <w:spacing w:after="200" w:line="276"/>
      </w:pPr>
      <w:r>
        <w:rPr>
          <w:rFonts w:ascii="Georgia" w:cs="Georgia" w:eastAsia="Georgia" w:hAnsi="Georgia"/>
          <w:sz w:val="24"/>
          <w:szCs w:val="24"/>
        </w:rPr>
        <w:t xml:space="preserve">However, the wage premium does not resolve the structural question this essay addresses. The premium demonstrates that collective bargaining </w:t>
      </w:r>
      <w:r>
        <w:rPr>
          <w:rFonts w:ascii="Georgia" w:cs="Georgia" w:eastAsia="Georgia" w:hAnsi="Georgia"/>
          <w:i/>
          <w:iCs/>
          <w:sz w:val="24"/>
          <w:szCs w:val="24"/>
        </w:rPr>
        <w:t xml:space="preserve">works</w:t>
      </w:r>
      <w:r>
        <w:rPr>
          <w:rFonts w:ascii="Georgia" w:cs="Georgia" w:eastAsia="Georgia" w:hAnsi="Georgia"/>
          <w:sz w:val="24"/>
          <w:szCs w:val="24"/>
        </w:rPr>
        <w:t xml:space="preserve">. It does not demonstrate that the </w:t>
      </w:r>
      <w:r>
        <w:rPr>
          <w:rFonts w:ascii="Georgia" w:cs="Georgia" w:eastAsia="Georgia" w:hAnsi="Georgia"/>
          <w:i/>
          <w:iCs/>
          <w:sz w:val="24"/>
          <w:szCs w:val="24"/>
        </w:rPr>
        <w:t xml:space="preserve">specific financial mechanism</w:t>
      </w:r>
      <w:r>
        <w:rPr>
          <w:rFonts w:ascii="Georgia" w:cs="Georgia" w:eastAsia="Georgia" w:hAnsi="Georgia"/>
          <w:sz w:val="24"/>
          <w:szCs w:val="24"/>
        </w:rPr>
        <w:t xml:space="preserve"> of mandatory dues is the only or most efficient way to fund it. The existence of the premium is consistent with both the “pure coordination” hypothesis and the “coordination-washed” hypothesis. The question is not whether unions deliver value but whether the mandatory dues architecture captures more value than necessary to deliver that result—and whether the excess accrues to institutional self-preservation rather than worker welfare.</w:t>
      </w:r>
    </w:p>
    <w:p>
      <w:pPr>
        <w:spacing w:after="80"/>
      </w:pPr>
      <w:r>
        <w:rPr>
          <w:rFonts w:ascii="Arial" w:cs="Arial" w:eastAsia="Arial" w:hAnsi="Arial"/>
          <w:b/>
          <w:bCs/>
          <w:color w:val="1a7a2e"/>
          <w:sz w:val="22"/>
          <w:szCs w:val="22"/>
        </w:rPr>
        <w:t xml:space="preserve">[Tier 1 – Public Records]</w:t>
      </w:r>
      <w:r>
        <w:rPr>
          <w:rFonts w:ascii="Georgia" w:cs="Georgia" w:eastAsia="Georgia" w:hAnsi="Georgia"/>
          <w:i/>
          <w:iCs/>
          <w:sz w:val="22"/>
          <w:szCs w:val="22"/>
        </w:rPr>
        <w:t xml:space="preserve"> BLS wage data and peer-reviewed academic studies. Source quality: Tier S (government statistics) and Tier A (peer-reviewed research).</w:t>
      </w:r>
    </w:p>
    <w:p>
      <w:pPr>
        <w:pStyle w:val="Heading1"/>
        <w:spacing w:before="360" w:after="200"/>
      </w:pPr>
      <w:r>
        <w:rPr>
          <w:rFonts w:ascii="Arial" w:cs="Arial" w:eastAsia="Arial" w:hAnsi="Arial"/>
          <w:b/>
          <w:bCs/>
          <w:sz w:val="36"/>
          <w:szCs w:val="36"/>
        </w:rPr>
        <w:t xml:space="preserve">VIII. Institutional Actions Required</w:t>
      </w:r>
    </w:p>
    <w:p>
      <w:pPr>
        <w:spacing w:after="200" w:line="276"/>
      </w:pPr>
      <w:r>
        <w:rPr>
          <w:rFonts w:ascii="Georgia" w:cs="Georgia" w:eastAsia="Georgia" w:hAnsi="Georgia"/>
          <w:sz w:val="24"/>
          <w:szCs w:val="24"/>
        </w:rPr>
        <w:t xml:space="preserve">Regardless of which hypothesis proves correct, the following actions address documented gaps:</w:t>
      </w:r>
    </w:p>
    <w:p>
      <w:pPr>
        <w:spacing w:after="200" w:line="276"/>
      </w:pPr>
      <w:r>
        <w:rPr>
          <w:rFonts w:ascii="Georgia" w:cs="Georgia" w:eastAsia="Georgia" w:hAnsi="Georgia"/>
          <w:b/>
          <w:bCs/>
          <w:sz w:val="24"/>
          <w:szCs w:val="24"/>
        </w:rPr>
        <w:t xml:space="preserve">1. Independent auditing of dues allocation. </w:t>
      </w:r>
      <w:r>
        <w:rPr>
          <w:rFonts w:ascii="Georgia" w:cs="Georgia" w:eastAsia="Georgia" w:hAnsi="Georgia"/>
          <w:sz w:val="24"/>
          <w:szCs w:val="24"/>
        </w:rPr>
        <w:t xml:space="preserve">The Department of Labor should require that LM-2 filings include standardized, independently audited breakdowns of representational versus non-representational spending, using consistent, modernized definitions that account for the “logistics tail” problem—capturing legal staff, research analysts, and other institutional infrastructure that directly enables bargaining alongside the narrower categories of negotiation and grievance handling. This requires no new legislation and falls within the Department’s existing regulatory authority under the LMRDA.</w:t>
      </w:r>
    </w:p>
    <w:p>
      <w:pPr>
        <w:spacing w:after="200" w:line="276"/>
      </w:pPr>
      <w:r>
        <w:rPr>
          <w:rFonts w:ascii="Georgia" w:cs="Georgia" w:eastAsia="Georgia" w:hAnsi="Georgia"/>
          <w:b/>
          <w:bCs/>
          <w:sz w:val="24"/>
          <w:szCs w:val="24"/>
        </w:rPr>
        <w:t xml:space="preserve">2. Transparent chargeable expense determination. </w:t>
      </w:r>
      <w:r>
        <w:rPr>
          <w:rFonts w:ascii="Georgia" w:cs="Georgia" w:eastAsia="Georgia" w:hAnsi="Georgia"/>
          <w:sz w:val="24"/>
          <w:szCs w:val="24"/>
        </w:rPr>
        <w:t xml:space="preserve">The NLRB should establish uniform standards for what constitutes “chargeable” expenses under </w:t>
      </w:r>
      <w:r>
        <w:rPr>
          <w:rFonts w:ascii="Georgia" w:cs="Georgia" w:eastAsia="Georgia" w:hAnsi="Georgia"/>
          <w:i/>
          <w:iCs/>
          <w:sz w:val="24"/>
          <w:szCs w:val="24"/>
        </w:rPr>
        <w:t xml:space="preserve">Beck</w:t>
      </w:r>
      <w:r>
        <w:rPr>
          <w:rFonts w:ascii="Georgia" w:cs="Georgia" w:eastAsia="Georgia" w:hAnsi="Georgia"/>
          <w:sz w:val="24"/>
          <w:szCs w:val="24"/>
        </w:rPr>
        <w:t xml:space="preserve"> rights, removing the arrangement where the collecting entity defines what it may collect. This could be modeled on the independent oversight mechanisms used in rate-setting for regulated utilities or the external auditing requirements applied to public company financial statements.</w:t>
      </w:r>
    </w:p>
    <w:p>
      <w:pPr>
        <w:spacing w:after="200" w:line="276"/>
      </w:pPr>
      <w:r>
        <w:rPr>
          <w:rFonts w:ascii="Georgia" w:cs="Georgia" w:eastAsia="Georgia" w:hAnsi="Georgia"/>
          <w:b/>
          <w:bCs/>
          <w:sz w:val="24"/>
          <w:szCs w:val="24"/>
        </w:rPr>
        <w:t xml:space="preserve">3. Calibrated exit architecture. </w:t>
      </w:r>
      <w:r>
        <w:rPr>
          <w:rFonts w:ascii="Georgia" w:cs="Georgia" w:eastAsia="Georgia" w:hAnsi="Georgia"/>
          <w:sz w:val="24"/>
          <w:szCs w:val="24"/>
        </w:rPr>
        <w:t xml:space="preserve">States with union security agreements should require that opt-out mechanisms be available on a rolling basis (e.g., ninety-day windows with thirty-day processing), clearly communicated at the point of hire, and processed within a defined timeframe. This does not mean trivially easy exit—which would create the instability problem union advocates rightly identify—but it means exit that is </w:t>
      </w:r>
      <w:r>
        <w:rPr>
          <w:rFonts w:ascii="Georgia" w:cs="Georgia" w:eastAsia="Georgia" w:hAnsi="Georgia"/>
          <w:i/>
          <w:iCs/>
          <w:sz w:val="24"/>
          <w:szCs w:val="24"/>
        </w:rPr>
        <w:t xml:space="preserve">genuinely accessible</w:t>
      </w:r>
      <w:r>
        <w:rPr>
          <w:rFonts w:ascii="Georgia" w:cs="Georgia" w:eastAsia="Georgia" w:hAnsi="Georgia"/>
          <w:sz w:val="24"/>
          <w:szCs w:val="24"/>
        </w:rPr>
        <w:t xml:space="preserve"> rather than architecturally suppressed.</w:t>
      </w:r>
    </w:p>
    <w:p>
      <w:pPr>
        <w:spacing w:after="200" w:line="276"/>
      </w:pPr>
      <w:r>
        <w:rPr>
          <w:rFonts w:ascii="Georgia" w:cs="Georgia" w:eastAsia="Georgia" w:hAnsi="Georgia"/>
          <w:b/>
          <w:bCs/>
          <w:sz w:val="24"/>
          <w:szCs w:val="24"/>
        </w:rPr>
        <w:t xml:space="preserve">4. Grievance and representation effectiveness reporting. </w:t>
      </w:r>
      <w:r>
        <w:rPr>
          <w:rFonts w:ascii="Georgia" w:cs="Georgia" w:eastAsia="Georgia" w:hAnsi="Georgia"/>
          <w:sz w:val="24"/>
          <w:szCs w:val="24"/>
        </w:rPr>
        <w:t xml:space="preserve">Unions should be required to report, as part of LM-2 filings, the number of grievances filed, processed, and resolved; member satisfaction metrics; and contract enforcement actions. This data would directly address the omega variable and would allow workers to evaluate whether their dues are generating the representation they’re paying for.</w:t>
      </w:r>
    </w:p>
    <w:p>
      <w:pPr>
        <w:spacing w:after="200" w:line="276"/>
      </w:pPr>
      <w:r>
        <w:rPr>
          <w:rFonts w:ascii="Georgia" w:cs="Georgia" w:eastAsia="Georgia" w:hAnsi="Georgia"/>
          <w:sz w:val="24"/>
          <w:szCs w:val="24"/>
        </w:rPr>
        <w:t xml:space="preserve">If the mandatory dues mechanism is a healthy coordination tool, these reforms cost nothing and confirm its legitimacy. If the mechanism has drifted toward extraction, these reforms are the minimum corrective.</w:t>
      </w:r>
    </w:p>
    <w:p>
      <w:pPr>
        <w:pStyle w:val="Heading1"/>
        <w:spacing w:before="360" w:after="200"/>
      </w:pPr>
      <w:r>
        <w:rPr>
          <w:rFonts w:ascii="Arial" w:cs="Arial" w:eastAsia="Arial" w:hAnsi="Arial"/>
          <w:b/>
          <w:bCs/>
          <w:sz w:val="36"/>
          <w:szCs w:val="36"/>
        </w:rPr>
        <w:t xml:space="preserve">IX. Unresolved Questions</w:t>
      </w:r>
    </w:p>
    <w:p>
      <w:pPr>
        <w:spacing w:after="200" w:line="276"/>
      </w:pPr>
      <w:r>
        <w:rPr>
          <w:rFonts w:ascii="Georgia" w:cs="Georgia" w:eastAsia="Georgia" w:hAnsi="Georgia"/>
          <w:i/>
          <w:iCs/>
          <w:sz w:val="24"/>
          <w:szCs w:val="24"/>
        </w:rPr>
        <w:t xml:space="preserve">What is the actual grievance-to-dues throughput ratio, combined with member satisfaction and deterrence proxies, across a representative sample of union locals? </w:t>
      </w:r>
      <w:r>
        <w:rPr>
          <w:rFonts w:ascii="Georgia" w:cs="Georgia" w:eastAsia="Georgia" w:hAnsi="Georgia"/>
          <w:sz w:val="24"/>
          <w:szCs w:val="24"/>
        </w:rPr>
        <w:t xml:space="preserve">This is the single most important empirical question. If unions are processing grievances efficiently and members report high satisfaction with representation, the “tangled rope” classification holds and the extraction component is a manageable overhead problem. If throughput is low, satisfaction is low, and deterrence cannot explain the gap, the mechanism is closer to a snare than a rope.</w:t>
      </w:r>
    </w:p>
    <w:p>
      <w:pPr>
        <w:spacing w:after="200" w:line="276"/>
      </w:pPr>
      <w:r>
        <w:rPr>
          <w:rFonts w:ascii="Georgia" w:cs="Georgia" w:eastAsia="Georgia" w:hAnsi="Georgia"/>
          <w:i/>
          <w:iCs/>
          <w:sz w:val="24"/>
          <w:szCs w:val="24"/>
        </w:rPr>
        <w:t xml:space="preserve">Do representational spending ratios differ meaningfully between unions in right-to-work and non-right-to-work states, controlling for industry and region? </w:t>
      </w:r>
      <w:r>
        <w:rPr>
          <w:rFonts w:ascii="Georgia" w:cs="Georgia" w:eastAsia="Georgia" w:hAnsi="Georgia"/>
          <w:sz w:val="24"/>
          <w:szCs w:val="24"/>
        </w:rPr>
        <w:t xml:space="preserve">If unions facing competitive pressure from voluntary membership allocate a higher share of revenue to representation, that would support the monopoly pricing inference. If ratios are similar regardless of exit architecture, the overhead pattern reflects inherent organizational structure rather than insulation from feedback.</w:t>
      </w:r>
    </w:p>
    <w:p>
      <w:pPr>
        <w:spacing w:after="200" w:line="276"/>
      </w:pPr>
      <w:r>
        <w:rPr>
          <w:rFonts w:ascii="Georgia" w:cs="Georgia" w:eastAsia="Georgia" w:hAnsi="Georgia"/>
          <w:i/>
          <w:iCs/>
          <w:sz w:val="24"/>
          <w:szCs w:val="24"/>
        </w:rPr>
        <w:t xml:space="preserve">How do unions’ representational spending ratios compare to those of professional associations, bar associations, and other mandatory-membership organizations? </w:t>
      </w:r>
      <w:r>
        <w:rPr>
          <w:rFonts w:ascii="Georgia" w:cs="Georgia" w:eastAsia="Georgia" w:hAnsi="Georgia"/>
          <w:sz w:val="24"/>
          <w:szCs w:val="24"/>
        </w:rPr>
        <w:t xml:space="preserve">If the pattern is structurally similar across all complex membership institutions, the extraction claim loses distinctiveness. If unions in non-right-to-work states are outliers, the structural hypothesis gains support.</w:t>
      </w:r>
    </w:p>
    <w:p>
      <w:pPr>
        <w:pStyle w:val="Heading1"/>
        <w:spacing w:before="360" w:after="200"/>
      </w:pPr>
      <w:r>
        <w:rPr>
          <w:rFonts w:ascii="Arial" w:cs="Arial" w:eastAsia="Arial" w:hAnsi="Arial"/>
          <w:b/>
          <w:bCs/>
          <w:sz w:val="36"/>
          <w:szCs w:val="36"/>
        </w:rPr>
        <w:t xml:space="preserve">X. The Smallest Defensible Claim</w:t>
      </w:r>
    </w:p>
    <w:p>
      <w:pPr>
        <w:spacing w:after="200" w:line="276"/>
      </w:pPr>
      <w:r>
        <w:rPr>
          <w:rFonts w:ascii="Georgia" w:cs="Georgia" w:eastAsia="Georgia" w:hAnsi="Georgia"/>
          <w:sz w:val="24"/>
          <w:szCs w:val="24"/>
        </w:rPr>
        <w:t xml:space="preserve">This essay does not claim that unions are extractive institutions. It does not claim that mandatory dues should be abolished. It does not claim that collective bargaining fails to deliver value—the evidence clearly shows it does. It claims something narrower: that the </w:t>
      </w:r>
      <w:r>
        <w:rPr>
          <w:rFonts w:ascii="Georgia" w:cs="Georgia" w:eastAsia="Georgia" w:hAnsi="Georgia"/>
          <w:i/>
          <w:iCs/>
          <w:sz w:val="24"/>
          <w:szCs w:val="24"/>
        </w:rPr>
        <w:t xml:space="preserve">specific financial architecture</w:t>
      </w:r>
      <w:r>
        <w:rPr>
          <w:rFonts w:ascii="Georgia" w:cs="Georgia" w:eastAsia="Georgia" w:hAnsi="Georgia"/>
          <w:sz w:val="24"/>
          <w:szCs w:val="24"/>
        </w:rPr>
        <w:t xml:space="preserve"> of mandatory union dues—in which the collecting entity defines chargeable expenses, representation spending averages below 50 percent in multiple audited filings, exit mechanisms are designed for high friction, and the same constraint registers as functional coordination to institutions and as involuntary extraction to individuals—exhibits structural features that are not fully explained by either the free-rider problem or ordinary institutional inertia.</w:t>
      </w:r>
    </w:p>
    <w:p>
      <w:pPr>
        <w:spacing w:after="200" w:line="276"/>
      </w:pPr>
      <w:r>
        <w:rPr>
          <w:rFonts w:ascii="Georgia" w:cs="Georgia" w:eastAsia="Georgia" w:hAnsi="Georgia"/>
          <w:sz w:val="24"/>
          <w:szCs w:val="24"/>
        </w:rPr>
        <w:t xml:space="preserve">These features may reflect benign institutional complexity. They may reflect path-dependent bureaucratization. Or they may reflect a mechanism that has drifted from its coordinating function toward institutional self-preservation—what the analytical framework labels “coordination-washing.” </w:t>
      </w:r>
      <w:r>
        <w:rPr>
          <w:rFonts w:ascii="Georgia" w:cs="Georgia" w:eastAsia="Georgia" w:hAnsi="Georgia"/>
          <w:i/>
          <w:iCs/>
          <w:sz w:val="24"/>
          <w:szCs w:val="24"/>
        </w:rPr>
        <w:t xml:space="preserve">The point is that we cannot currently distinguish between these explanations, because the transparency mechanisms that would allow us to do so do not exist.</w:t>
      </w:r>
    </w:p>
    <w:p>
      <w:pPr>
        <w:spacing w:after="200" w:line="276"/>
      </w:pPr>
      <w:r>
        <w:rPr>
          <w:rFonts w:ascii="Georgia" w:cs="Georgia" w:eastAsia="Georgia" w:hAnsi="Georgia"/>
          <w:sz w:val="24"/>
          <w:szCs w:val="24"/>
        </w:rPr>
        <w:t xml:space="preserve">The institutional response this analysis demands is modest: independent auditing, transparent chargeable-expense standards, calibrated exit, and representation effectiveness reporting. If the mechanism is genuinely coordination, these reforms confirm its legitimacy at trivial cost. Persistent resistance to even these minimal measures—measures that any well-functioning coordination mechanism should welcome—would shift the burden of proof. Instead of critics proving unions are “bad,” the institutions benefiting from mandatory, friction-locked dues would need to demonstrate that their financial operations are transparent, efficient, and accountable to the workers who fund them.</w:t>
      </w:r>
    </w:p>
    <w:p>
      <w:r>
        <w:br w:type="page"/>
      </w:r>
    </w:p>
    <w:p>
      <w:pPr>
        <w:pStyle w:val="Heading1"/>
        <w:spacing w:before="360" w:after="200"/>
      </w:pPr>
      <w:r>
        <w:rPr>
          <w:rFonts w:ascii="Arial" w:cs="Arial" w:eastAsia="Arial" w:hAnsi="Arial"/>
          <w:b/>
          <w:bCs/>
          <w:sz w:val="36"/>
          <w:szCs w:val="36"/>
        </w:rPr>
        <w:t xml:space="preserve">Evidence Framework</w:t>
      </w:r>
    </w:p>
    <w:p>
      <w:pPr>
        <w:pStyle w:val="Heading2"/>
        <w:spacing w:before="360" w:after="200"/>
      </w:pPr>
      <w:r>
        <w:rPr>
          <w:rFonts w:ascii="Arial" w:cs="Arial" w:eastAsia="Arial" w:hAnsi="Arial"/>
          <w:b/>
          <w:bCs/>
          <w:sz w:val="30"/>
          <w:szCs w:val="30"/>
        </w:rPr>
        <w:t xml:space="preserve">Documented in Public Records (Tier 1)</w:t>
      </w:r>
    </w:p>
    <w:p>
      <w:pPr>
        <w:pStyle w:val="ListParagraph"/>
        <w:numPr>
          <w:ilvl w:val="0"/>
          <w:numId w:val="2"/>
        </w:numPr>
        <w:spacing w:after="120"/>
      </w:pPr>
      <w:r>
        <w:rPr>
          <w:rFonts w:ascii="Georgia" w:cs="Georgia" w:eastAsia="Georgia" w:hAnsi="Georgia"/>
          <w:sz w:val="24"/>
          <w:szCs w:val="24"/>
        </w:rPr>
        <w:t xml:space="preserve">LM-2 financial disclosures showing “Representational Activities” spending between 9.4% and 55.2% across multiple unions — Source: U.S. Department of Labor, LM-2 filings (publicly searchable at olmsapps.dol.gov)</w:t>
      </w:r>
    </w:p>
    <w:p>
      <w:pPr>
        <w:pStyle w:val="ListParagraph"/>
        <w:numPr>
          <w:ilvl w:val="0"/>
          <w:numId w:val="2"/>
        </w:numPr>
        <w:spacing w:after="120"/>
      </w:pPr>
      <w:r>
        <w:rPr>
          <w:rFonts w:ascii="Georgia" w:cs="Georgia" w:eastAsia="Georgia" w:hAnsi="Georgia"/>
          <w:sz w:val="24"/>
          <w:szCs w:val="24"/>
        </w:rPr>
        <w:t xml:space="preserve">Janus v. AFSCME, 585 U.S. 878 (2018): mandatory public-sector agency fees unconstitutional under the First Amendment</w:t>
      </w:r>
    </w:p>
    <w:p>
      <w:pPr>
        <w:pStyle w:val="ListParagraph"/>
        <w:numPr>
          <w:ilvl w:val="0"/>
          <w:numId w:val="2"/>
        </w:numPr>
        <w:spacing w:after="120"/>
      </w:pPr>
      <w:r>
        <w:rPr>
          <w:rFonts w:ascii="Georgia" w:cs="Georgia" w:eastAsia="Georgia" w:hAnsi="Georgia"/>
          <w:sz w:val="24"/>
          <w:szCs w:val="24"/>
        </w:rPr>
        <w:t xml:space="preserve">Post-Janus fee-payer data: AFSCME lost 98% of agency-fee payers; SEIU lost 94% — Source: Union LM-2 filings, 2018</w:t>
      </w:r>
    </w:p>
    <w:p>
      <w:pPr>
        <w:pStyle w:val="ListParagraph"/>
        <w:numPr>
          <w:ilvl w:val="0"/>
          <w:numId w:val="2"/>
        </w:numPr>
        <w:spacing w:after="120"/>
      </w:pPr>
      <w:r>
        <w:rPr>
          <w:rFonts w:ascii="Georgia" w:cs="Georgia" w:eastAsia="Georgia" w:hAnsi="Georgia"/>
          <w:sz w:val="24"/>
          <w:szCs w:val="24"/>
        </w:rPr>
        <w:t xml:space="preserve">BLS data (2024): median weekly earnings $1,320 (union) vs. $1,138 (nonunion); union wage premium 10–20% after controls — Source: Bureau of Labor Statistics, “Union Members — 2024”</w:t>
      </w:r>
    </w:p>
    <w:p>
      <w:pPr>
        <w:pStyle w:val="ListParagraph"/>
        <w:numPr>
          <w:ilvl w:val="0"/>
          <w:numId w:val="2"/>
        </w:numPr>
        <w:spacing w:after="120"/>
      </w:pPr>
      <w:r>
        <w:rPr>
          <w:rFonts w:ascii="Georgia" w:cs="Georgia" w:eastAsia="Georgia" w:hAnsi="Georgia"/>
          <w:sz w:val="24"/>
          <w:szCs w:val="24"/>
        </w:rPr>
        <w:t xml:space="preserve">27 states with right-to-work laws as of 2025 — Source: National Conference of State Legislatures</w:t>
      </w:r>
    </w:p>
    <w:p>
      <w:pPr>
        <w:pStyle w:val="ListParagraph"/>
        <w:numPr>
          <w:ilvl w:val="0"/>
          <w:numId w:val="2"/>
        </w:numPr>
        <w:spacing w:after="120"/>
      </w:pPr>
      <w:r>
        <w:rPr>
          <w:rFonts w:ascii="Georgia" w:cs="Georgia" w:eastAsia="Georgia" w:hAnsi="Georgia"/>
          <w:sz w:val="24"/>
          <w:szCs w:val="24"/>
        </w:rPr>
        <w:t xml:space="preserve">Taft-Hartley Act (1947); Communications Workers v. Beck (1988); LMRDA (1959)</w:t>
      </w:r>
    </w:p>
    <w:p>
      <w:pPr>
        <w:pStyle w:val="Heading2"/>
        <w:spacing w:before="360" w:after="200"/>
      </w:pPr>
      <w:r>
        <w:rPr>
          <w:rFonts w:ascii="Arial" w:cs="Arial" w:eastAsia="Arial" w:hAnsi="Arial"/>
          <w:b/>
          <w:bCs/>
          <w:sz w:val="30"/>
          <w:szCs w:val="30"/>
        </w:rPr>
        <w:t xml:space="preserve">Reasonable Inferences from Documented Facts (Tier 2)</w:t>
      </w:r>
    </w:p>
    <w:p>
      <w:pPr>
        <w:pStyle w:val="ListParagraph"/>
        <w:numPr>
          <w:ilvl w:val="0"/>
          <w:numId w:val="2"/>
        </w:numPr>
        <w:spacing w:after="120"/>
      </w:pPr>
      <w:r>
        <w:rPr>
          <w:rFonts w:ascii="Georgia" w:cs="Georgia" w:eastAsia="Georgia" w:hAnsi="Georgia"/>
          <w:sz w:val="24"/>
          <w:szCs w:val="24"/>
        </w:rPr>
        <w:t xml:space="preserve">The combination of self-classified chargeable expenses, sub-50% representational spending, and high exit friction creates a structural pattern not fully explained by free-rider concerns or institutional inertia alone</w:t>
      </w:r>
    </w:p>
    <w:p>
      <w:pPr>
        <w:pStyle w:val="ListParagraph"/>
        <w:numPr>
          <w:ilvl w:val="0"/>
          <w:numId w:val="2"/>
        </w:numPr>
        <w:spacing w:after="120"/>
      </w:pPr>
      <w:r>
        <w:rPr>
          <w:rFonts w:ascii="Georgia" w:cs="Georgia" w:eastAsia="Georgia" w:hAnsi="Georgia"/>
          <w:sz w:val="24"/>
          <w:szCs w:val="24"/>
        </w:rPr>
        <w:t xml:space="preserve">Post-Janus mass opt-out indicates involuntary fee-payers did not consider the mechanism worth funding voluntarily—empirical evidence about revealed preferences</w:t>
      </w:r>
    </w:p>
    <w:p>
      <w:pPr>
        <w:pStyle w:val="ListParagraph"/>
        <w:numPr>
          <w:ilvl w:val="0"/>
          <w:numId w:val="2"/>
        </w:numPr>
        <w:spacing w:after="120"/>
      </w:pPr>
      <w:r>
        <w:rPr>
          <w:rFonts w:ascii="Georgia" w:cs="Georgia" w:eastAsia="Georgia" w:hAnsi="Georgia"/>
          <w:sz w:val="24"/>
          <w:szCs w:val="24"/>
        </w:rPr>
        <w:t xml:space="preserve">Higher dues and officer salaries in non-RTW states suggest monopoly pricing effects — Requires updated verification with post-Janus LM-2 data</w:t>
      </w:r>
    </w:p>
    <w:p>
      <w:pPr>
        <w:pStyle w:val="Heading2"/>
        <w:spacing w:before="360" w:after="200"/>
      </w:pPr>
      <w:r>
        <w:rPr>
          <w:rFonts w:ascii="Arial" w:cs="Arial" w:eastAsia="Arial" w:hAnsi="Arial"/>
          <w:b/>
          <w:bCs/>
          <w:sz w:val="30"/>
          <w:szCs w:val="30"/>
        </w:rPr>
        <w:t xml:space="preserve">Structural Hypotheses Requiring Additional Evidence (Tier 3)</w:t>
      </w:r>
    </w:p>
    <w:p>
      <w:pPr>
        <w:pStyle w:val="ListParagraph"/>
        <w:numPr>
          <w:ilvl w:val="0"/>
          <w:numId w:val="2"/>
        </w:numPr>
        <w:spacing w:after="120"/>
      </w:pPr>
      <w:r>
        <w:rPr>
          <w:rFonts w:ascii="Georgia" w:cs="Georgia" w:eastAsia="Georgia" w:hAnsi="Georgia"/>
          <w:sz w:val="24"/>
          <w:szCs w:val="24"/>
        </w:rPr>
        <w:t xml:space="preserve">The mandatory dues mechanism has drifted temporally from coordination toward self-preservation — Would move to Tier 2 with: longitudinal LM-2 spending analysis 2005–present</w:t>
      </w:r>
    </w:p>
    <w:p>
      <w:pPr>
        <w:pStyle w:val="ListParagraph"/>
        <w:numPr>
          <w:ilvl w:val="0"/>
          <w:numId w:val="2"/>
        </w:numPr>
        <w:spacing w:after="120"/>
      </w:pPr>
      <w:r>
        <w:rPr>
          <w:rFonts w:ascii="Georgia" w:cs="Georgia" w:eastAsia="Georgia" w:hAnsi="Georgia"/>
          <w:sz w:val="24"/>
          <w:szCs w:val="24"/>
        </w:rPr>
        <w:t xml:space="preserve">The constraint is “coordination-washed” — Would be falsified by: comprehensive grievance throughput, satisfaction, and deterrence data showing dues revenue generates measurable worker benefit at rates comparable to voluntary professional associations</w:t>
      </w:r>
    </w:p>
    <w:p>
      <w:pPr>
        <w:pStyle w:val="ListParagraph"/>
        <w:numPr>
          <w:ilvl w:val="0"/>
          <w:numId w:val="2"/>
        </w:numPr>
        <w:spacing w:after="120"/>
      </w:pPr>
      <w:r>
        <w:rPr>
          <w:rFonts w:ascii="Georgia" w:cs="Georgia" w:eastAsia="Georgia" w:hAnsi="Georgia"/>
          <w:sz w:val="24"/>
          <w:szCs w:val="24"/>
        </w:rPr>
        <w:t xml:space="preserve">Comparative benchmarking hypothesis: union representational spending ratios are outliers relative to other mandatory-membership organizations — Requires: systematic comparison across institutional types</w:t>
      </w:r>
    </w:p>
    <w:p>
      <w:r>
        <w:br w:type="page"/>
      </w:r>
    </w:p>
    <w:p>
      <w:pPr>
        <w:pStyle w:val="Heading1"/>
        <w:spacing w:before="360" w:after="200"/>
      </w:pPr>
      <w:r>
        <w:rPr>
          <w:rFonts w:ascii="Arial" w:cs="Arial" w:eastAsia="Arial" w:hAnsi="Arial"/>
          <w:b/>
          <w:bCs/>
          <w:sz w:val="36"/>
          <w:szCs w:val="36"/>
        </w:rPr>
        <w:t xml:space="preserve">Metadata (Author Review)</w:t>
      </w:r>
    </w:p>
    <w:p>
      <w:pPr>
        <w:pStyle w:val="Heading2"/>
        <w:spacing w:before="360" w:after="200"/>
      </w:pPr>
      <w:r>
        <w:rPr>
          <w:rFonts w:ascii="Arial" w:cs="Arial" w:eastAsia="Arial" w:hAnsi="Arial"/>
          <w:b/>
          <w:bCs/>
          <w:sz w:val="30"/>
          <w:szCs w:val="30"/>
        </w:rPr>
        <w:t xml:space="preserve">Adversarial Review</w:t>
      </w:r>
    </w:p>
    <w:p>
      <w:pPr>
        <w:spacing w:after="200" w:line="276"/>
      </w:pPr>
      <w:r>
        <w:rPr>
          <w:rFonts w:ascii="Georgia" w:cs="Georgia" w:eastAsia="Georgia" w:hAnsi="Georgia"/>
          <w:b/>
          <w:bCs/>
          <w:sz w:val="24"/>
          <w:szCs w:val="24"/>
        </w:rPr>
        <w:t xml:space="preserve">Weakest link: </w:t>
      </w:r>
      <w:r>
        <w:rPr>
          <w:rFonts w:ascii="Georgia" w:cs="Georgia" w:eastAsia="Georgia" w:hAnsi="Georgia"/>
          <w:sz w:val="24"/>
          <w:szCs w:val="24"/>
        </w:rPr>
        <w:t xml:space="preserve">The representation spending percentages rely on LM-2 accounting categories that may systematically undercount functional representation. If a rigorous reclassification exercise showed that 70%+ of union expenditures directly or indirectly serve representation, the spending gap argument would substantially weaken.</w:t>
      </w:r>
    </w:p>
    <w:p>
      <w:pPr>
        <w:spacing w:after="200" w:line="276"/>
      </w:pPr>
      <w:r>
        <w:rPr>
          <w:rFonts w:ascii="Georgia" w:cs="Georgia" w:eastAsia="Georgia" w:hAnsi="Georgia"/>
          <w:b/>
          <w:bCs/>
          <w:sz w:val="24"/>
          <w:szCs w:val="24"/>
        </w:rPr>
        <w:t xml:space="preserve">Most likely criticism: </w:t>
      </w:r>
      <w:r>
        <w:rPr>
          <w:rFonts w:ascii="Georgia" w:cs="Georgia" w:eastAsia="Georgia" w:hAnsi="Georgia"/>
          <w:sz w:val="24"/>
          <w:szCs w:val="24"/>
        </w:rPr>
        <w:t xml:space="preserve">“You’re using anti-union sources and narrow accounting categories to make unions look extractive.” Response: The essay now (a) directly addresses LM-2 category limitations and the “logistics tail” argument, (b) acknowledges the free-rider problem as “stronger than many union critics acknowledge,” (c) frames the Heritage/Mackinac data as a hypothesis requiring updating rather than settled evidence, and (d) proposes reforms that would </w:t>
      </w:r>
      <w:r>
        <w:rPr>
          <w:rFonts w:ascii="Georgia" w:cs="Georgia" w:eastAsia="Georgia" w:hAnsi="Georgia"/>
          <w:i/>
          <w:iCs/>
          <w:sz w:val="24"/>
          <w:szCs w:val="24"/>
        </w:rPr>
        <w:t xml:space="preserve">improve</w:t>
      </w:r>
      <w:r>
        <w:rPr>
          <w:rFonts w:ascii="Georgia" w:cs="Georgia" w:eastAsia="Georgia" w:hAnsi="Georgia"/>
          <w:sz w:val="24"/>
          <w:szCs w:val="24"/>
        </w:rPr>
        <w:t xml:space="preserve"> union legitimacy if the mechanism is functioning well.</w:t>
      </w:r>
    </w:p>
    <w:p>
      <w:pPr>
        <w:spacing w:after="200" w:line="276"/>
      </w:pPr>
      <w:r>
        <w:rPr>
          <w:rFonts w:ascii="Georgia" w:cs="Georgia" w:eastAsia="Georgia" w:hAnsi="Georgia"/>
          <w:b/>
          <w:bCs/>
          <w:sz w:val="24"/>
          <w:szCs w:val="24"/>
        </w:rPr>
        <w:t xml:space="preserve">Second-most likely criticism: </w:t>
      </w:r>
      <w:r>
        <w:rPr>
          <w:rFonts w:ascii="Georgia" w:cs="Georgia" w:eastAsia="Georgia" w:hAnsi="Georgia"/>
          <w:sz w:val="24"/>
          <w:szCs w:val="24"/>
        </w:rPr>
        <w:t xml:space="preserve">“Easy exit undermines the collective action that makes unions effective.” Response: The essay now engages this directly in Section III.B and proposes </w:t>
      </w:r>
      <w:r>
        <w:rPr>
          <w:rFonts w:ascii="Georgia" w:cs="Georgia" w:eastAsia="Georgia" w:hAnsi="Georgia"/>
          <w:i/>
          <w:iCs/>
          <w:sz w:val="24"/>
          <w:szCs w:val="24"/>
        </w:rPr>
        <w:t xml:space="preserve">calibrated</w:t>
      </w:r>
      <w:r>
        <w:rPr>
          <w:rFonts w:ascii="Georgia" w:cs="Georgia" w:eastAsia="Georgia" w:hAnsi="Georgia"/>
          <w:sz w:val="24"/>
          <w:szCs w:val="24"/>
        </w:rPr>
        <w:t xml:space="preserve"> rather than trivial exit—ninety-day rolling windows rather than continuous opt-out—acknowledging the stability concern while still addressing the friction problem.</w:t>
      </w:r>
    </w:p>
    <w:p>
      <w:pPr>
        <w:spacing w:after="200" w:line="276"/>
      </w:pPr>
      <w:r>
        <w:rPr>
          <w:rFonts w:ascii="Georgia" w:cs="Georgia" w:eastAsia="Georgia" w:hAnsi="Georgia"/>
          <w:b/>
          <w:bCs/>
          <w:sz w:val="24"/>
          <w:szCs w:val="24"/>
        </w:rPr>
        <w:t xml:space="preserve">Third criticism (new): </w:t>
      </w:r>
      <w:r>
        <w:rPr>
          <w:rFonts w:ascii="Georgia" w:cs="Georgia" w:eastAsia="Georgia" w:hAnsi="Georgia"/>
          <w:sz w:val="24"/>
          <w:szCs w:val="24"/>
        </w:rPr>
        <w:t xml:space="preserve">“You cherry-picked UFT and MFPE.” Response: These are illustrative cases from publicly available filings; the essay now explicitly flags generalizability as an unresolved question and proposes systematic comparative analysis.</w:t>
      </w:r>
    </w:p>
    <w:p>
      <w:pPr>
        <w:spacing w:after="200" w:line="276"/>
      </w:pPr>
      <w:r>
        <w:rPr>
          <w:rFonts w:ascii="Georgia" w:cs="Georgia" w:eastAsia="Georgia" w:hAnsi="Georgia"/>
          <w:b/>
          <w:bCs/>
          <w:sz w:val="24"/>
          <w:szCs w:val="24"/>
        </w:rPr>
        <w:t xml:space="preserve">Defense: </w:t>
      </w:r>
      <w:r>
        <w:rPr>
          <w:rFonts w:ascii="Georgia" w:cs="Georgia" w:eastAsia="Georgia" w:hAnsi="Georgia"/>
          <w:sz w:val="24"/>
          <w:szCs w:val="24"/>
        </w:rPr>
        <w:t xml:space="preserve">The argument degrades gracefully. Even if the spending gap argument is weakened by reclassification, the exit architecture and post-Janus revealed-preference evidence stand independently. Even if the DR model is rejected entirely, the documented structural features (self-defined chargeability, high exit friction, post-Janus mass opt-out) require explanation.</w:t>
      </w:r>
    </w:p>
    <w:p>
      <w:pPr>
        <w:pStyle w:val="Heading2"/>
        <w:spacing w:before="360" w:after="200"/>
      </w:pPr>
      <w:r>
        <w:rPr>
          <w:rFonts w:ascii="Arial" w:cs="Arial" w:eastAsia="Arial" w:hAnsi="Arial"/>
          <w:b/>
          <w:bCs/>
          <w:sz w:val="30"/>
          <w:szCs w:val="30"/>
        </w:rPr>
        <w:t xml:space="preserve">Brittleness Assessment</w:t>
      </w:r>
    </w:p>
    <w:p>
      <w:pPr>
        <w:spacing w:after="200" w:line="276"/>
      </w:pPr>
      <w:r>
        <w:rPr>
          <w:rFonts w:ascii="Georgia" w:cs="Georgia" w:eastAsia="Georgia" w:hAnsi="Georgia"/>
          <w:b/>
          <w:bCs/>
          <w:sz w:val="24"/>
          <w:szCs w:val="24"/>
        </w:rPr>
        <w:t xml:space="preserve">Independent evidence lines: </w:t>
      </w:r>
      <w:r>
        <w:rPr>
          <w:rFonts w:ascii="Georgia" w:cs="Georgia" w:eastAsia="Georgia" w:hAnsi="Georgia"/>
          <w:sz w:val="24"/>
          <w:szCs w:val="24"/>
        </w:rPr>
        <w:t xml:space="preserve">3 (spending gap, exit architecture, temporal drift—with temporal drift acknowledged as weakest).</w:t>
      </w:r>
    </w:p>
    <w:p>
      <w:pPr>
        <w:spacing w:after="200" w:line="276"/>
      </w:pPr>
      <w:r>
        <w:rPr>
          <w:rFonts w:ascii="Georgia" w:cs="Georgia" w:eastAsia="Georgia" w:hAnsi="Georgia"/>
          <w:b/>
          <w:bCs/>
          <w:sz w:val="24"/>
          <w:szCs w:val="24"/>
        </w:rPr>
        <w:t xml:space="preserve">Critical dependency: </w:t>
      </w:r>
      <w:r>
        <w:rPr>
          <w:rFonts w:ascii="Georgia" w:cs="Georgia" w:eastAsia="Georgia" w:hAnsi="Georgia"/>
          <w:sz w:val="24"/>
          <w:szCs w:val="24"/>
        </w:rPr>
        <w:t xml:space="preserve">If LM-2 categories are shown to systematically undercount representational spending by a factor of 2x or more, the spending gap argument would need significant revision. The other two lines would remain.</w:t>
      </w:r>
    </w:p>
    <w:p>
      <w:pPr>
        <w:pStyle w:val="Heading2"/>
        <w:spacing w:before="360" w:after="200"/>
      </w:pPr>
      <w:r>
        <w:rPr>
          <w:rFonts w:ascii="Arial" w:cs="Arial" w:eastAsia="Arial" w:hAnsi="Arial"/>
          <w:b/>
          <w:bCs/>
          <w:sz w:val="30"/>
          <w:szCs w:val="30"/>
        </w:rPr>
        <w:t xml:space="preserve">Source Quality</w:t>
      </w:r>
    </w:p>
    <w:p>
      <w:pPr>
        <w:spacing w:after="200" w:line="276"/>
      </w:pPr>
      <w:r>
        <w:rPr>
          <w:rFonts w:ascii="Georgia" w:cs="Georgia" w:eastAsia="Georgia" w:hAnsi="Georgia"/>
          <w:b/>
          <w:bCs/>
          <w:sz w:val="24"/>
          <w:szCs w:val="24"/>
        </w:rPr>
        <w:t xml:space="preserve">Tier S sources: </w:t>
      </w:r>
      <w:r>
        <w:rPr>
          <w:rFonts w:ascii="Georgia" w:cs="Georgia" w:eastAsia="Georgia" w:hAnsi="Georgia"/>
          <w:sz w:val="24"/>
          <w:szCs w:val="24"/>
        </w:rPr>
        <w:t xml:space="preserve">5 (Supreme Court decisions, BLS data, NLRB regulations, DOL LM-2 filings, statutory provisions)</w:t>
      </w:r>
    </w:p>
    <w:p>
      <w:pPr>
        <w:spacing w:after="200" w:line="276"/>
      </w:pPr>
      <w:r>
        <w:rPr>
          <w:rFonts w:ascii="Georgia" w:cs="Georgia" w:eastAsia="Georgia" w:hAnsi="Georgia"/>
          <w:b/>
          <w:bCs/>
          <w:sz w:val="24"/>
          <w:szCs w:val="24"/>
        </w:rPr>
        <w:t xml:space="preserve">Tier A sources: </w:t>
      </w:r>
      <w:r>
        <w:rPr>
          <w:rFonts w:ascii="Georgia" w:cs="Georgia" w:eastAsia="Georgia" w:hAnsi="Georgia"/>
          <w:sz w:val="24"/>
          <w:szCs w:val="24"/>
        </w:rPr>
        <w:t xml:space="preserve">3 (EPI wage analysis, Mackinac Center LM-2 review, Manhattan Institute Janus aftermath analysis)</w:t>
      </w:r>
    </w:p>
    <w:p>
      <w:pPr>
        <w:spacing w:after="200" w:line="276"/>
      </w:pPr>
      <w:r>
        <w:rPr>
          <w:rFonts w:ascii="Georgia" w:cs="Georgia" w:eastAsia="Georgia" w:hAnsi="Georgia"/>
          <w:b/>
          <w:bCs/>
          <w:sz w:val="24"/>
          <w:szCs w:val="24"/>
        </w:rPr>
        <w:t xml:space="preserve">Tier C sources: </w:t>
      </w:r>
      <w:r>
        <w:rPr>
          <w:rFonts w:ascii="Georgia" w:cs="Georgia" w:eastAsia="Georgia" w:hAnsi="Georgia"/>
          <w:sz w:val="24"/>
          <w:szCs w:val="24"/>
        </w:rPr>
        <w:t xml:space="preserve">1 (Americans for Fair Treatment—advocacy organization whose UFT/MFPE analyses cite directly from verifiable LM-2 filings; used for illustrative detail, not for core claims)</w:t>
      </w:r>
    </w:p>
    <w:p>
      <w:pPr>
        <w:spacing w:after="200" w:line="276"/>
      </w:pPr>
      <w:r>
        <w:rPr>
          <w:rFonts w:ascii="Georgia" w:cs="Georgia" w:eastAsia="Georgia" w:hAnsi="Georgia"/>
          <w:b/>
          <w:bCs/>
          <w:sz w:val="24"/>
          <w:szCs w:val="24"/>
        </w:rPr>
        <w:t xml:space="preserve">Reframed citation: </w:t>
      </w:r>
      <w:r>
        <w:rPr>
          <w:rFonts w:ascii="Georgia" w:cs="Georgia" w:eastAsia="Georgia" w:hAnsi="Georgia"/>
          <w:sz w:val="24"/>
          <w:szCs w:val="24"/>
        </w:rPr>
        <w:t xml:space="preserve">Heritage Foundation non-RTW vs. RTW dues comparison now explicitly presented as a hypothesis requiring updating rather than evidence.</w:t>
      </w:r>
    </w:p>
    <w:p>
      <w:pPr>
        <w:pStyle w:val="Heading2"/>
        <w:spacing w:before="360" w:after="200"/>
      </w:pPr>
      <w:r>
        <w:rPr>
          <w:rFonts w:ascii="Arial" w:cs="Arial" w:eastAsia="Arial" w:hAnsi="Arial"/>
          <w:b/>
          <w:bCs/>
          <w:sz w:val="30"/>
          <w:szCs w:val="30"/>
        </w:rPr>
        <w:t xml:space="preserve">Model Transparency</w:t>
      </w:r>
    </w:p>
    <w:p>
      <w:pPr>
        <w:spacing w:after="200" w:line="276"/>
      </w:pPr>
      <w:r>
        <w:rPr>
          <w:rFonts w:ascii="Georgia" w:cs="Georgia" w:eastAsia="Georgia" w:hAnsi="Georgia"/>
          <w:b/>
          <w:bCs/>
          <w:sz w:val="24"/>
          <w:szCs w:val="24"/>
        </w:rPr>
        <w:t xml:space="preserve">Models used: </w:t>
      </w:r>
      <w:r>
        <w:rPr>
          <w:rFonts w:ascii="Georgia" w:cs="Georgia" w:eastAsia="Georgia" w:hAnsi="Georgia"/>
          <w:sz w:val="24"/>
          <w:szCs w:val="24"/>
        </w:rPr>
        <w:t xml:space="preserve">Deferential Realism v6.0 constraint classification framework (Prolog-based)</w:t>
      </w:r>
    </w:p>
    <w:p>
      <w:pPr>
        <w:spacing w:after="200" w:line="276"/>
      </w:pPr>
      <w:r>
        <w:rPr>
          <w:rFonts w:ascii="Georgia" w:cs="Georgia" w:eastAsia="Georgia" w:hAnsi="Georgia"/>
          <w:b/>
          <w:bCs/>
          <w:sz w:val="24"/>
          <w:szCs w:val="24"/>
        </w:rPr>
        <w:t xml:space="preserve">Limitations disclosed: </w:t>
      </w:r>
      <w:r>
        <w:rPr>
          <w:rFonts w:ascii="Georgia" w:cs="Georgia" w:eastAsia="Georgia" w:hAnsi="Georgia"/>
          <w:sz w:val="24"/>
          <w:szCs w:val="24"/>
        </w:rPr>
        <w:t xml:space="preserve">Yes (Section VI). Model outputs explicitly marked as interpretive and not peer-reviewed throughout. Quantitative precision flagged as potentially misleading.</w:t>
      </w:r>
    </w:p>
    <w:p>
      <w:pPr>
        <w:spacing w:after="200" w:line="276"/>
      </w:pPr>
      <w:r>
        <w:rPr>
          <w:rFonts w:ascii="Georgia" w:cs="Georgia" w:eastAsia="Georgia" w:hAnsi="Georgia"/>
          <w:b/>
          <w:bCs/>
          <w:sz w:val="24"/>
          <w:szCs w:val="24"/>
        </w:rPr>
        <w:t xml:space="preserve">Model not treated as independent evidence: </w:t>
      </w:r>
      <w:r>
        <w:rPr>
          <w:rFonts w:ascii="Georgia" w:cs="Georgia" w:eastAsia="Georgia" w:hAnsi="Georgia"/>
          <w:sz w:val="24"/>
          <w:szCs w:val="24"/>
        </w:rPr>
        <w:t xml:space="preserve">Confirmed. The essay’s core argument—self-defined chargeability, sub-50% representational spending, high exit friction, post-Janus revealed preferences—stands entirely on Tier 1 data without the DR framework.</w:t>
      </w:r>
    </w:p>
    <w:p>
      <w:pPr>
        <w:pStyle w:val="Heading2"/>
        <w:spacing w:before="360" w:after="200"/>
      </w:pPr>
      <w:r>
        <w:rPr>
          <w:rFonts w:ascii="Arial" w:cs="Arial" w:eastAsia="Arial" w:hAnsi="Arial"/>
          <w:b/>
          <w:bCs/>
          <w:sz w:val="30"/>
          <w:szCs w:val="30"/>
        </w:rPr>
        <w:t xml:space="preserve">Revision Notes</w:t>
      </w:r>
    </w:p>
    <w:p>
      <w:pPr>
        <w:spacing w:after="200" w:line="276"/>
      </w:pPr>
      <w:r>
        <w:rPr>
          <w:rFonts w:ascii="Georgia" w:cs="Georgia" w:eastAsia="Georgia" w:hAnsi="Georgia"/>
          <w:b/>
          <w:bCs/>
          <w:sz w:val="24"/>
          <w:szCs w:val="24"/>
        </w:rPr>
        <w:t xml:space="preserve">Changes from v1 based on multi-model adversarial review: </w:t>
      </w:r>
    </w:p>
    <w:p>
      <w:pPr>
        <w:pStyle w:val="ListParagraph"/>
        <w:numPr>
          <w:ilvl w:val="0"/>
          <w:numId w:val="2"/>
        </w:numPr>
        <w:spacing w:after="100"/>
      </w:pPr>
      <w:r>
        <w:rPr>
          <w:rFonts w:ascii="Georgia" w:cs="Georgia" w:eastAsia="Georgia" w:hAnsi="Georgia"/>
          <w:sz w:val="24"/>
          <w:szCs w:val="24"/>
        </w:rPr>
        <w:t xml:space="preserve">Added concrete opening hook (composite worker/treasurer vignettes)</w:t>
      </w:r>
    </w:p>
    <w:p>
      <w:pPr>
        <w:pStyle w:val="ListParagraph"/>
        <w:numPr>
          <w:ilvl w:val="0"/>
          <w:numId w:val="2"/>
        </w:numPr>
        <w:spacing w:after="100"/>
      </w:pPr>
      <w:r>
        <w:rPr>
          <w:rFonts w:ascii="Georgia" w:cs="Georgia" w:eastAsia="Georgia" w:hAnsi="Georgia"/>
          <w:sz w:val="24"/>
          <w:szCs w:val="24"/>
        </w:rPr>
        <w:t xml:space="preserve">Added LM-2 category limitation discussion and “logistics tail” counterargument (Section III.A)</w:t>
      </w:r>
    </w:p>
    <w:p>
      <w:pPr>
        <w:pStyle w:val="ListParagraph"/>
        <w:numPr>
          <w:ilvl w:val="0"/>
          <w:numId w:val="2"/>
        </w:numPr>
        <w:spacing w:after="100"/>
      </w:pPr>
      <w:r>
        <w:rPr>
          <w:rFonts w:ascii="Georgia" w:cs="Georgia" w:eastAsia="Georgia" w:hAnsi="Georgia"/>
          <w:sz w:val="24"/>
          <w:szCs w:val="24"/>
        </w:rPr>
        <w:t xml:space="preserve">Added comparative benchmarking context distinguishing overhead levels from overhead + exit friction (Section III.A)</w:t>
      </w:r>
    </w:p>
    <w:p>
      <w:pPr>
        <w:pStyle w:val="ListParagraph"/>
        <w:numPr>
          <w:ilvl w:val="0"/>
          <w:numId w:val="2"/>
        </w:numPr>
        <w:spacing w:after="100"/>
      </w:pPr>
      <w:r>
        <w:rPr>
          <w:rFonts w:ascii="Georgia" w:cs="Georgia" w:eastAsia="Georgia" w:hAnsi="Georgia"/>
          <w:sz w:val="24"/>
          <w:szCs w:val="24"/>
        </w:rPr>
        <w:t xml:space="preserve">Strengthened free-rider engagement: acknowledged it as “stronger than many union critics acknowledge” (Section V)</w:t>
      </w:r>
    </w:p>
    <w:p>
      <w:pPr>
        <w:pStyle w:val="ListParagraph"/>
        <w:numPr>
          <w:ilvl w:val="0"/>
          <w:numId w:val="2"/>
        </w:numPr>
        <w:spacing w:after="100"/>
      </w:pPr>
      <w:r>
        <w:rPr>
          <w:rFonts w:ascii="Georgia" w:cs="Georgia" w:eastAsia="Georgia" w:hAnsi="Georgia"/>
          <w:sz w:val="24"/>
          <w:szCs w:val="24"/>
        </w:rPr>
        <w:t xml:space="preserve">Added exit stability counterargument with direct engagement and calibrated alternative (Section III.B)</w:t>
      </w:r>
    </w:p>
    <w:p>
      <w:pPr>
        <w:pStyle w:val="ListParagraph"/>
        <w:numPr>
          <w:ilvl w:val="0"/>
          <w:numId w:val="2"/>
        </w:numPr>
        <w:spacing w:after="100"/>
      </w:pPr>
      <w:r>
        <w:rPr>
          <w:rFonts w:ascii="Georgia" w:cs="Georgia" w:eastAsia="Georgia" w:hAnsi="Georgia"/>
          <w:sz w:val="24"/>
          <w:szCs w:val="24"/>
        </w:rPr>
        <w:t xml:space="preserve">Trimmed DR quantitative outputs; added intuition line for directionality and corpus context for gap magnitude</w:t>
      </w:r>
    </w:p>
    <w:p>
      <w:pPr>
        <w:pStyle w:val="ListParagraph"/>
        <w:numPr>
          <w:ilvl w:val="0"/>
          <w:numId w:val="2"/>
        </w:numPr>
        <w:spacing w:after="100"/>
      </w:pPr>
      <w:r>
        <w:rPr>
          <w:rFonts w:ascii="Georgia" w:cs="Georgia" w:eastAsia="Georgia" w:hAnsi="Georgia"/>
          <w:sz w:val="24"/>
          <w:szCs w:val="24"/>
        </w:rPr>
        <w:t xml:space="preserve">Shortened temporal drift section; acknowledged as weakest evidence line</w:t>
      </w:r>
    </w:p>
    <w:p>
      <w:pPr>
        <w:pStyle w:val="ListParagraph"/>
        <w:numPr>
          <w:ilvl w:val="0"/>
          <w:numId w:val="2"/>
        </w:numPr>
        <w:spacing w:after="100"/>
      </w:pPr>
      <w:r>
        <w:rPr>
          <w:rFonts w:ascii="Georgia" w:cs="Georgia" w:eastAsia="Georgia" w:hAnsi="Georgia"/>
          <w:sz w:val="24"/>
          <w:szCs w:val="24"/>
        </w:rPr>
        <w:t xml:space="preserve">Added omega variable ambiguity (deterrence vs. atrophy) with supplementary data requirements</w:t>
      </w:r>
    </w:p>
    <w:p>
      <w:pPr>
        <w:pStyle w:val="ListParagraph"/>
        <w:numPr>
          <w:ilvl w:val="0"/>
          <w:numId w:val="2"/>
        </w:numPr>
        <w:spacing w:after="100"/>
      </w:pPr>
      <w:r>
        <w:rPr>
          <w:rFonts w:ascii="Georgia" w:cs="Georgia" w:eastAsia="Georgia" w:hAnsi="Georgia"/>
          <w:sz w:val="24"/>
          <w:szCs w:val="24"/>
        </w:rPr>
        <w:t xml:space="preserve">Added public vs. private sector distinction (Section IV)</w:t>
      </w:r>
    </w:p>
    <w:p>
      <w:pPr>
        <w:pStyle w:val="ListParagraph"/>
        <w:numPr>
          <w:ilvl w:val="0"/>
          <w:numId w:val="2"/>
        </w:numPr>
        <w:spacing w:after="100"/>
      </w:pPr>
      <w:r>
        <w:rPr>
          <w:rFonts w:ascii="Georgia" w:cs="Georgia" w:eastAsia="Georgia" w:hAnsi="Georgia"/>
          <w:sz w:val="24"/>
          <w:szCs w:val="24"/>
        </w:rPr>
        <w:t xml:space="preserve">Reframed Heritage Foundation citation as hypothesis rather than evidence</w:t>
      </w:r>
    </w:p>
    <w:p>
      <w:pPr>
        <w:pStyle w:val="ListParagraph"/>
        <w:numPr>
          <w:ilvl w:val="0"/>
          <w:numId w:val="2"/>
        </w:numPr>
        <w:spacing w:after="100"/>
      </w:pPr>
      <w:r>
        <w:rPr>
          <w:rFonts w:ascii="Georgia" w:cs="Georgia" w:eastAsia="Georgia" w:hAnsi="Georgia"/>
          <w:sz w:val="24"/>
          <w:szCs w:val="24"/>
        </w:rPr>
        <w:t xml:space="preserve">Added three new unresolved questions (comparative benchmarking, RTW spending ratios, representational reclassification)</w:t>
      </w:r>
    </w:p>
    <w:p>
      <w:pPr>
        <w:pStyle w:val="ListParagraph"/>
        <w:numPr>
          <w:ilvl w:val="0"/>
          <w:numId w:val="2"/>
        </w:numPr>
        <w:spacing w:after="100"/>
      </w:pPr>
      <w:r>
        <w:rPr>
          <w:rFonts w:ascii="Georgia" w:cs="Georgia" w:eastAsia="Georgia" w:hAnsi="Georgia"/>
          <w:sz w:val="24"/>
          <w:szCs w:val="24"/>
        </w:rPr>
        <w:t xml:space="preserve">Revised title subtitle for clarity</w:t>
      </w:r>
    </w:p>
    <w:p>
      <w:pPr>
        <w:pStyle w:val="ListParagraph"/>
        <w:numPr>
          <w:ilvl w:val="0"/>
          <w:numId w:val="2"/>
        </w:numPr>
        <w:spacing w:after="100"/>
      </w:pPr>
      <w:r>
        <w:rPr>
          <w:rFonts w:ascii="Georgia" w:cs="Georgia" w:eastAsia="Georgia" w:hAnsi="Georgia"/>
          <w:sz w:val="24"/>
          <w:szCs w:val="24"/>
        </w:rPr>
        <w:t xml:space="preserve">Revised institutional action #1 to include modernized LM-2 categories addressing the logistics tail problem</w:t>
      </w:r>
    </w:p>
    <w:p>
      <w:pPr>
        <w:pStyle w:val="ListParagraph"/>
        <w:numPr>
          <w:ilvl w:val="0"/>
          <w:numId w:val="2"/>
        </w:numPr>
        <w:spacing w:after="100"/>
      </w:pPr>
      <w:r>
        <w:rPr>
          <w:rFonts w:ascii="Georgia" w:cs="Georgia" w:eastAsia="Georgia" w:hAnsi="Georgia"/>
          <w:sz w:val="24"/>
          <w:szCs w:val="24"/>
        </w:rPr>
        <w:t xml:space="preserve">Revised institutional action #3 from “continuous exit” to “calibrated exit” (90-day rolling windows)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UKE_W v2.0 Analysis — Revision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6"/>
      <w:szCs w:val="36"/>
    </w:rPr>
  </w:style>
  <w:style w:type="paragraph" w:styleId="Heading2">
    <w:name w:val="Heading 2"/>
    <w:basedOn w:val="Normal"/>
    <w:next w:val="Normal"/>
    <w:qFormat/>
    <w:pPr>
      <w:spacing w:before="300" w:after="200"/>
      <w:outlineLvl w:val="1"/>
    </w:pPr>
    <w:rPr>
      <w:rFonts w:ascii="Arial" w:cs="Arial" w:eastAsia="Arial" w:hAnsi="Arial"/>
      <w:b/>
      <w:bCs/>
      <w:sz w:val="30"/>
      <w:szCs w:val="30"/>
    </w:rPr>
  </w:style>
  <w:style w:type="paragraph" w:styleId="Heading3">
    <w:name w:val="Heading 3"/>
    <w:basedOn w:val="Normal"/>
    <w:next w:val="Normal"/>
    <w:qFormat/>
    <w:pPr>
      <w:spacing w:before="240" w:after="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2026-02-11T03:24:38.592Z</dcterms:created>
  <dcterms:modified xsi:type="dcterms:W3CDTF">2026-02-11T03:24:38.593Z</dcterms:modified>
</cp:coreProperties>
</file>

<file path=docProps/custom.xml><?xml version="1.0" encoding="utf-8"?>
<Properties xmlns="http://schemas.openxmlformats.org/officeDocument/2006/custom-properties" xmlns:vt="http://schemas.openxmlformats.org/officeDocument/2006/docPropsVTypes"/>
</file>