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sz w:val="36"/>
        </w:rPr>
        <w:t>Leakage-Free Evaluation of Variational Autoencoder and SMOTE-Based Oversampling for Small and Imbalanced Tabular Data</w:t>
      </w:r>
    </w:p>
    <w:p>
      <w:pPr>
        <w:jc w:val="center"/>
      </w:pPr>
      <w:r>
        <w:rPr>
          <w:rFonts w:ascii="Times New Roman" w:hAnsi="Times New Roman"/>
          <w:b/>
          <w:sz w:val="22"/>
        </w:rPr>
        <w:t>Cafer Budak</w:t>
      </w:r>
    </w:p>
    <w:p>
      <w:pPr>
        <w:jc w:val="center"/>
      </w:pPr>
      <w:r>
        <w:rPr>
          <w:rFonts w:ascii="Times New Roman" w:hAnsi="Times New Roman"/>
          <w:i/>
          <w:sz w:val="19"/>
        </w:rPr>
        <w:t>Elektrik-Elektronik Mühendisliği Bölümü, Dicle Üniversitesi, Diyarbakır, Türkiye</w:t>
      </w:r>
    </w:p>
    <w:p>
      <w:pPr>
        <w:spacing w:after="160"/>
        <w:jc w:val="center"/>
      </w:pPr>
      <w:r>
        <w:rPr>
          <w:rFonts w:ascii="Times New Roman" w:hAnsi="Times New Roman"/>
          <w:i/>
          <w:sz w:val="19"/>
        </w:rPr>
        <w:t>cafer.budak@dicle.edu.tr</w:t>
      </w:r>
    </w:p>
    <w:p>
      <w:pPr>
        <w:sectPr>
          <w:pgSz w:w="12240" w:h="15840"/>
          <w:pgMar w:top="1080" w:right="936" w:bottom="1080" w:left="936" w:header="720" w:footer="720" w:gutter="0"/>
          <w:cols w:space="360" w:num="1"/>
          <w:docGrid w:linePitch="360"/>
        </w:sectPr>
      </w:pPr>
    </w:p>
    <w:p>
      <w:pPr>
        <w:spacing w:after="60"/>
        <w:jc w:val="both"/>
      </w:pPr>
      <w:r>
        <w:rPr>
          <w:rFonts w:ascii="Times New Roman" w:hAnsi="Times New Roman"/>
          <w:b/>
          <w:i/>
          <w:sz w:val="18"/>
        </w:rPr>
        <w:t>Öz—Küçük ve dengesiz tablo verisinde sentetik örnek üretimi sınıflandırma başarımını artırmak amacıyla yaygın biçimde kullanılmaktadır; ancak bu yöntemlerin yararı, artırmanın değerlendirme sürecinin hangi aşamasında uygulandığına ve başarımın hangi metrikle ölçüldüğüne duyarlıdır. Bu çalışmada, sınıf koşullu varyasyonel oto-kodlayıcı (CVAE) örneklemesini Synthetic Minority Over-sampling Technique (SMOTE) interpolasyonuyla birleştiren hibrit bir veri artırma yöntemi (bundan sonra hibrit artırma), yedi UCI veri kümesinde (Pelvic, Hepatitis, Parkinson's, Heart Disease, Pima Diabetes, Glass ve Sonar) altı çekirdek sınıflandırıcı ve beş kat–iki tekrarlı tabakalı çapraz doğrulama ile değerlendirilmiştir. Artırma bölünmeden önce tüm veriye uygulandığında düz doğruluk ortalama 6,7 yüzde puan yapay olarak şişmiş; artırmanın yalnızca eğitim katına uygulandığı sızıntıya kapalı protokolde ise bu kazanç kaybolmuştur (−0,2 yüzde puan). Sızıntıya kapalı protokolde hibrit artırma, artırmasız temel duruma göre dengeli doğruluğu ortalama 2,5 yüzde puan artırmıştır (veri kümesi düzeyinde eşleştirilmiş Wilcoxon, p = 0,016). Kazanç yedi veri kümesinin tamamında pozitif olup en yüksek Hepatitis (+4,6), Pelvic (+4,0) ve Parkinson's (+3,4 yüzde puan) kümelerinde gözlenmiş; makro-F1'deki artış ise daha sınırlı kalmıştır (+1,1 yüzde puan). Bulgular, küçük ve dengesiz tablo verisinde artırma yöntemlerinin yararının ancak sızıntıya kapalı bir protokol ve dengesizliğe duyarlı ölçütlerle güvenilir biçimde değerlendirilebileceğini göstermektedir.</w:t>
      </w:r>
    </w:p>
    <w:p>
      <w:pPr>
        <w:spacing w:after="120"/>
        <w:jc w:val="both"/>
      </w:pPr>
      <w:r>
        <w:rPr>
          <w:rFonts w:ascii="Times New Roman" w:hAnsi="Times New Roman"/>
          <w:b/>
          <w:i/>
          <w:sz w:val="18"/>
        </w:rPr>
        <w:t>Anahtar Kelimeler—SMOTE, varyasyonel oto-kodlayıcı (VAE), veri artırma, sentetik veri, veri sızıntısı, makine öğrenmesi, veri madenciliği, sınıf dengesizliği.</w:t>
      </w:r>
    </w:p>
    <w:p>
      <w:pPr>
        <w:spacing w:before="160" w:after="60"/>
        <w:jc w:val="center"/>
      </w:pPr>
      <w:r>
        <w:rPr>
          <w:rFonts w:ascii="Times New Roman" w:hAnsi="Times New Roman"/>
          <w:b/>
          <w:sz w:val="19"/>
        </w:rPr>
        <w:t>I. GİRİŞ</w:t>
      </w:r>
    </w:p>
    <w:p>
      <w:pPr>
        <w:spacing w:before="0" w:after="60" w:line="240" w:lineRule="auto"/>
        <w:ind w:firstLine="202"/>
        <w:jc w:val="both"/>
      </w:pPr>
      <w:r>
        <w:rPr>
          <w:rFonts w:ascii="Times New Roman" w:hAnsi="Times New Roman"/>
          <w:b w:val="0"/>
          <w:i w:val="0"/>
          <w:sz w:val="19"/>
        </w:rPr>
        <w:t xml:space="preserve">Makine öğrenmesi yöntemlerinin tıp, malzeme bilimi ve sinyal işleme gibi alanlardaki başarımı, büyük ölçüde eğitim için erişilebilen etiketli örnek sayısına bağlıdır. Veri toplama maliyeti, gizlilik kısıtları ve deneylerin tekrarlanma güçlüğü bu alanlarda büyük ölçekli veri kümelerinin oluşturulmasını çoğu zaman güçleştirmektedir [1], </w:t>
      </w:r>
      <w:r>
        <w:rPr>
          <w:rFonts w:ascii="Times New Roman" w:hAnsi="Times New Roman"/>
          <w:b w:val="0"/>
          <w:i w:val="0"/>
          <w:color w:val="C00000"/>
          <w:sz w:val="19"/>
        </w:rPr>
        <w:t>[2]</w:t>
      </w:r>
      <w:r>
        <w:rPr>
          <w:rFonts w:ascii="Times New Roman" w:hAnsi="Times New Roman"/>
          <w:b w:val="0"/>
          <w:i w:val="0"/>
          <w:sz w:val="19"/>
        </w:rPr>
        <w:t xml:space="preserve">. Örnek sayısının öznitelik sayısına ve model kapasitesine göre küçük kaldığı bu rejimde modeller, genellenebilir örüntüler yerine eğitim örneklerine özgü gürültüyü öğrenme, yani aşırı öğrenme eğilimi gösterir [3]. Küçük örneklem yalnızca modeli değil, modelin başarımının ölçülmesini de etkiler. Sınırlı test kümelerinden hesaplanan doğruluk değerleri yüksek varyanslıdır ve doğrulama tasarımındaki hatalar iyimser tahminlere yol açabilir </w:t>
      </w:r>
      <w:r>
        <w:rPr>
          <w:rFonts w:ascii="Times New Roman" w:hAnsi="Times New Roman"/>
          <w:b w:val="0"/>
          <w:i w:val="0"/>
          <w:color w:val="C00000"/>
          <w:sz w:val="19"/>
        </w:rPr>
        <w:t>[4]</w:t>
      </w:r>
      <w:r>
        <w:rPr>
          <w:rFonts w:ascii="Times New Roman" w:hAnsi="Times New Roman"/>
          <w:b w:val="0"/>
          <w:i w:val="0"/>
          <w:sz w:val="19"/>
        </w:rPr>
        <w:t>.</w:t>
      </w:r>
    </w:p>
    <w:p>
      <w:pPr>
        <w:spacing w:before="0" w:after="60" w:line="240" w:lineRule="auto"/>
        <w:ind w:firstLine="202"/>
        <w:jc w:val="both"/>
      </w:pPr>
      <w:r>
        <w:rPr>
          <w:rFonts w:ascii="Times New Roman" w:hAnsi="Times New Roman"/>
          <w:b w:val="0"/>
          <w:i w:val="0"/>
          <w:sz w:val="19"/>
        </w:rPr>
        <w:t xml:space="preserve">Veri artırma, eğitim kümesini sentetik örneklerle genişleterek aşırı öğrenme eğilimini azaltmayı amaçlar. Tablo biçimli sayısal verilerde görüntülerdeki gibi etiketi koruduğu bilinen dönüşümler bulunmadığından, sentetik örnekler genellikle mevcut örnekler arasında interpolasyonla ya da verinin yapısını öğrenen modellerle üretilir. Bu yaklaşımların en yaygını olan Synthetic Minority Over-sampling Technique (SMOTE), azınlık sınıfı örnekleri ile en yakın komşuları arasında doğrusal interpolasyon yapar [5]. Sınıf dengesizliği için geliştirilmiş bu ailenin yüksek boyutlu ve gürültülü verilerdeki sınırlılıkları literatürde tartışılmaktadır [6]. Oto-kodlayıcılar (AE) ise verinin düşük boyutlu yapısını denetimsiz biçimde öğrenir [7], </w:t>
      </w:r>
      <w:r>
        <w:rPr>
          <w:rFonts w:ascii="Times New Roman" w:hAnsi="Times New Roman"/>
          <w:b w:val="0"/>
          <w:i w:val="0"/>
          <w:color w:val="C00000"/>
          <w:sz w:val="19"/>
        </w:rPr>
        <w:t>[8]</w:t>
      </w:r>
      <w:r>
        <w:rPr>
          <w:rFonts w:ascii="Times New Roman" w:hAnsi="Times New Roman"/>
          <w:b w:val="0"/>
          <w:i w:val="0"/>
          <w:sz w:val="19"/>
        </w:rPr>
        <w:t xml:space="preserve"> ve veri artırma amacıyla da kullanılmıştır. Öğrenilmiş öznitelik uzayında gürültü ekleme, interpolasyon ve ekstrapolasyon uygulanmış [9], VAE tabanlı üretim regresyon problemlerinde incelenmiştir </w:t>
      </w:r>
      <w:r>
        <w:rPr>
          <w:rFonts w:ascii="Times New Roman" w:hAnsi="Times New Roman"/>
          <w:b w:val="0"/>
          <w:i w:val="0"/>
          <w:color w:val="C00000"/>
          <w:sz w:val="19"/>
        </w:rPr>
        <w:t>[10]</w:t>
      </w:r>
      <w:r>
        <w:rPr>
          <w:rFonts w:ascii="Times New Roman" w:hAnsi="Times New Roman"/>
          <w:b w:val="0"/>
          <w:i w:val="0"/>
          <w:sz w:val="19"/>
        </w:rPr>
        <w:t xml:space="preserve">. Davila Delgado ve Oyedele </w:t>
      </w:r>
      <w:r>
        <w:rPr>
          <w:rFonts w:ascii="Times New Roman" w:hAnsi="Times New Roman"/>
          <w:b w:val="0"/>
          <w:i w:val="0"/>
          <w:color w:val="C00000"/>
          <w:sz w:val="19"/>
        </w:rPr>
        <w:t>[11]</w:t>
      </w:r>
      <w:r>
        <w:rPr>
          <w:rFonts w:ascii="Times New Roman" w:hAnsi="Times New Roman"/>
          <w:b w:val="0"/>
          <w:i w:val="0"/>
          <w:sz w:val="19"/>
        </w:rPr>
        <w:t xml:space="preserve"> ise seyrek AE dahil dört AE türünü, [0,1] aralığına ölçeklenmiş küçük inşaat maliyeti veri kümelerinde ReLU aktivasyonlu ağlarla karşılaştırmış ve eğitim kümesini 2 ile 20 kat arasında büyütmüştür. Ancak </w:t>
      </w:r>
      <w:r>
        <w:rPr>
          <w:rFonts w:ascii="Times New Roman" w:hAnsi="Times New Roman"/>
          <w:b w:val="0"/>
          <w:i w:val="0"/>
          <w:color w:val="C00000"/>
          <w:sz w:val="19"/>
        </w:rPr>
        <w:t>[11]</w:t>
      </w:r>
      <w:r>
        <w:rPr>
          <w:rFonts w:ascii="Times New Roman" w:hAnsi="Times New Roman"/>
          <w:b w:val="0"/>
          <w:i w:val="0"/>
          <w:sz w:val="19"/>
        </w:rPr>
        <w:t xml:space="preserve"> ve </w:t>
      </w:r>
      <w:r>
        <w:rPr>
          <w:rFonts w:ascii="Times New Roman" w:hAnsi="Times New Roman"/>
          <w:b w:val="0"/>
          <w:i w:val="0"/>
          <w:color w:val="C00000"/>
          <w:sz w:val="19"/>
        </w:rPr>
        <w:t>[10]</w:t>
      </w:r>
      <w:r>
        <w:rPr>
          <w:rFonts w:ascii="Times New Roman" w:hAnsi="Times New Roman"/>
          <w:b w:val="0"/>
          <w:i w:val="0"/>
          <w:sz w:val="19"/>
        </w:rPr>
        <w:t xml:space="preserve"> regresyon problemlerine odaklanmaktadır. Oto-kodlayıcı tabanlı üretimin küçük örneklemli ve dengesiz sınıflandırmadaki yararının, artırmanın eğitim–test bölünmesine göre hangi aşamada uygulandığına ve başarımın hangi metrikle ölçüldüğüne ne ölçüde bağlı olduğu ise sınırlı ölçüde ele alınmıştır.</w:t>
      </w:r>
    </w:p>
    <w:p>
      <w:pPr>
        <w:spacing w:before="0" w:after="60" w:line="240" w:lineRule="auto"/>
        <w:ind w:firstLine="202"/>
        <w:jc w:val="both"/>
      </w:pPr>
      <w:r>
        <w:rPr>
          <w:rFonts w:ascii="Times New Roman" w:hAnsi="Times New Roman"/>
          <w:b w:val="0"/>
          <w:i w:val="0"/>
          <w:sz w:val="19"/>
        </w:rPr>
        <w:t>Bu çerçevede çalışmanın başlıca katkıları şunlardır: (1) CVAE gizil-uzay örneklemesini SMOTE interpolasyonuyla birleştiren hibrit bir veri artırma yöntemi (bundan sonra hibrit artırma), beşi biyomedikal (Pelvic, Hepatitis, Parkinson's, Heart Disease, Pima Diabetes), ikisi biyomedikal dışı (Glass, Sonar) yedi UCI veri kümesinde, aynı veri bölünmeleri ve ön işleme kuralları altında sızıntıya kapalı tekrarlı tabakalı çapraz doğrulama ile artırmasız temel durumla karşılaştırılmaktadır. (2) Kazanç, dengesiz küçük veride çoğunluk sınıfını kayıran düz doğruluk yerine dengeli doğruluk ve makro-F1 ile ölçülmekte; yöntemin dengeli doğruluğu altı çekirdek sınıflandırıcıda ortalama yaklaşık 2,5 yüzde puan, yedi veri kümesinin tamamında ve sınıflandırıcıların büyük bölümünde tutarlı biçimde artırdığı gösterilmektedir. (3) Artırmanın eğitim–test bölünmesinden önce uygulandığı naif protokolün düz doğruluğu ortalama yaklaşık 6,7 yüzde puan yapay olarak şişirdiği, bu kazancın sızıntıya kapalı protokolde kaybolduğu nicel olarak gösterilmekte; değerlendirme protokolü ve metrik seçiminin belirleyici etkisi ortaya konmaktadır.</w:t>
      </w:r>
    </w:p>
    <w:p>
      <w:pPr>
        <w:spacing w:before="160" w:after="60"/>
        <w:jc w:val="center"/>
      </w:pPr>
      <w:r>
        <w:rPr>
          <w:rFonts w:ascii="Times New Roman" w:hAnsi="Times New Roman"/>
          <w:b/>
          <w:sz w:val="19"/>
        </w:rPr>
        <w:t>II. İLGİLİ ÇALIŞMALAR</w:t>
      </w:r>
    </w:p>
    <w:p>
      <w:pPr>
        <w:spacing w:before="0" w:after="60" w:line="240" w:lineRule="auto"/>
        <w:ind w:firstLine="202"/>
        <w:jc w:val="both"/>
      </w:pPr>
      <w:r>
        <w:rPr>
          <w:rFonts w:ascii="Times New Roman" w:hAnsi="Times New Roman"/>
          <w:b w:val="0"/>
          <w:i w:val="0"/>
          <w:sz w:val="19"/>
        </w:rPr>
        <w:t xml:space="preserve">Sentetik örnek üretimine yönelik çalışmalar üç grupta toplanabilir. İnterpolasyon tabanlı yöntemlerden ADASYN [12], SMOTE'u [5] uyarlanabilir hâle getirerek üretimi öğrenilmesi güç azınlık örneklerinin çevresinde yoğunlaştırır. Üretken modellerden VAE [13], gizil uzayı olasılıksal bir dağılım olarak modeller ve bu dağılımdan örnekleme yoluyla yeni örnek üretimine olanak tanır. Çekişmeli oto-kodlayıcı (AAE) ise gizil kodların dağılımını çekişmeli eğitimle seçilen bir önsel dağılıma eşleyerek AE'yi üretken bir modele dönüştürür </w:t>
      </w:r>
      <w:r>
        <w:rPr>
          <w:rFonts w:ascii="Times New Roman" w:hAnsi="Times New Roman"/>
          <w:b w:val="0"/>
          <w:i w:val="0"/>
          <w:color w:val="C00000"/>
          <w:sz w:val="19"/>
        </w:rPr>
        <w:t>[14]</w:t>
      </w:r>
      <w:r>
        <w:rPr>
          <w:rFonts w:ascii="Times New Roman" w:hAnsi="Times New Roman"/>
          <w:b w:val="0"/>
          <w:i w:val="0"/>
          <w:sz w:val="19"/>
        </w:rPr>
        <w:t xml:space="preserve">. Papadopoulos ve Karalis [15], Monte Carlo yöntemiyle simüle edilmiş klinik çalışma verilerinde, orijinal verinin yalnızca bir bölümüyle eğitilen VAE'nin ürettiği sanal deneklerin orijinal veriye benzer istatistiksel güç sağladığını bildirmiştir. VAE'yi aşırı örneklemeyle birleştiren yaklaşımlar da önerilmiştir. VOS, azınlık sınıfı için sentetik örnekleri VAE ile üreterek geleneksel aşırı örnekleme yöntemlerine bir alternatif sunar [16]. SMOTE-CLS ise koşullu VAE'nin gizil uzayında gürültülü ya da yalıtılmış azınlık örneklerini ayıklar ve SMOTE interpolasyonunu kalan örnekler üzerinde uygular [17]. Bu çalışma, bu aileye yeni bir hibrit eklemekten çok, CVAE örneklemesi ile SMOTE'un birleşimini küçük örneklemli veride sızıntıya kapalı bir protokolle değerlendirmektedir. Tablo verisi için koşullu GAN tabanlı CTGAN [18] ve difüzyon tabanlı TabDDPM [19] geliştirilmiştir. TabDDPM'in kıyaslama veri kümelerinde GAN ve VAE alternatiflerinden daha iyi sonuç verdiği bildirilmiştir. Aynı çalışmadaki en yakın kayda uzaklık (DCR) analizi ise SMOTE ile üretilen örneklerin büyük bölümünün gerçek kayıtlara neredeyse sıfır uzaklıkta yoğunlaştığını göstermiştir [19]. Üçüncü grup değerlendirme protokolüyle ilgilidir. Kapoor ve Narayanan [20], 17 bilim alanında 294 çalışmayı etkileyen veri sızıntısı vakalarını derleyerek sekiz sızıntı türü tanımlamış ve eğitim ile test kümeleri arasındaki bağımsızlığın bozulmasını bu türlerden biri olarak raporlamıştır. Sentetik örnekler orijinallerinden türetildiği için bu nokta, artırma tabanlı değerlendirmede doğrudan geçerlidir.</w:t>
      </w:r>
    </w:p>
    <w:p>
      <w:pPr>
        <w:spacing w:before="160" w:after="60"/>
        <w:jc w:val="center"/>
      </w:pPr>
      <w:r>
        <w:rPr>
          <w:rFonts w:ascii="Times New Roman" w:hAnsi="Times New Roman"/>
          <w:b/>
          <w:sz w:val="19"/>
        </w:rPr>
        <w:t>III. YÖNTEM</w:t>
      </w:r>
    </w:p>
    <w:p>
      <w:pPr>
        <w:spacing w:before="0" w:after="60" w:line="240" w:lineRule="auto"/>
        <w:ind w:firstLine="202"/>
        <w:jc w:val="both"/>
      </w:pPr>
      <w:r>
        <w:rPr>
          <w:rFonts w:ascii="Times New Roman" w:hAnsi="Times New Roman"/>
          <w:b w:val="0"/>
          <w:i w:val="0"/>
          <w:sz w:val="19"/>
        </w:rPr>
        <w:t>İncelenen hibrit artırma yöntemi, eğitim kümesini iki tamamlayıcı kaynaktan üretilen sentetik örneklerle genişletir. SMOTE, azınlık sınıfı örnekleri ile en yakın komşuları arasında doğrusal interpolasyon yaparak dışbükey örtü içinde sınıf dengesini sağlar; sınıf koşullu varyasyonel oto-kodlayıcı (CVAE) ise öğrenilmiş sınıf-koşullu gizil dağılımdan örnekleyerek bu örtünün dışına çıkan çeşitlilik ekler. Girdinin yalnızca bir fonksiyonu olduğu için yeni bilgi katamayan belirlenimci yeniden yapılandırmanın aksine, CVAE örneklemesi öğrenilmiş bir dağılımdan yeni noktalar çeker. Artırma yalnızca eğitim katına uygulanır; test katı tüm ön işleme ve üretim süreçlerinin dışında tutulur (Şekil 1).</w:t>
      </w:r>
    </w:p>
    <w:p>
      <w:pPr>
        <w:sectPr>
          <w:type w:val="continuous"/>
          <w:pgSz w:w="12240" w:h="15840"/>
          <w:pgMar w:top="1080" w:right="936" w:bottom="1080" w:left="936" w:header="720" w:footer="720" w:gutter="0"/>
          <w:cols w:space="360" w:num="2"/>
          <w:docGrid w:linePitch="360"/>
        </w:sectPr>
      </w:pPr>
    </w:p>
    <w:p>
      <w:pPr>
        <w:jc w:val="center"/>
      </w:pPr>
      <w:r>
        <w:drawing>
          <wp:inline xmlns:a="http://schemas.openxmlformats.org/drawingml/2006/main" xmlns:pic="http://schemas.openxmlformats.org/drawingml/2006/picture">
            <wp:extent cx="6400800" cy="2570205"/>
            <wp:docPr id="1" name="Picture 1"/>
            <wp:cNvGraphicFramePr>
              <a:graphicFrameLocks noChangeAspect="1"/>
            </wp:cNvGraphicFramePr>
            <a:graphic>
              <a:graphicData uri="http://schemas.openxmlformats.org/drawingml/2006/picture">
                <pic:pic>
                  <pic:nvPicPr>
                    <pic:cNvPr id="0" name="sekil1_vaesmote_final.jpg"/>
                    <pic:cNvPicPr/>
                  </pic:nvPicPr>
                  <pic:blipFill>
                    <a:blip r:embed="rId9"/>
                    <a:stretch>
                      <a:fillRect/>
                    </a:stretch>
                  </pic:blipFill>
                  <pic:spPr>
                    <a:xfrm>
                      <a:off x="0" y="0"/>
                      <a:ext cx="6400800" cy="2570205"/>
                    </a:xfrm>
                    <a:prstGeom prst="rect"/>
                  </pic:spPr>
                </pic:pic>
              </a:graphicData>
            </a:graphic>
          </wp:inline>
        </w:drawing>
      </w:r>
    </w:p>
    <w:p>
      <w:pPr>
        <w:spacing w:after="80"/>
        <w:jc w:val="center"/>
      </w:pPr>
      <w:r>
        <w:rPr>
          <w:rFonts w:ascii="Times New Roman" w:hAnsi="Times New Roman"/>
          <w:sz w:val="17"/>
        </w:rPr>
        <w:t>Şekil 1. Hibrit artırmanın sızıntıya kapalı değerlendirme akışı. Veri önce eğitim/test olarak ayrılır; ön işleme ve hibrit artırma yalnızca eğitim katına uygulanır, test katı tüm süreçlerin dışında tutulur ve yalnızca değerlendirmede kullanılır.</w:t>
      </w:r>
    </w:p>
    <w:p>
      <w:pPr>
        <w:sectPr>
          <w:type w:val="continuous"/>
          <w:pgSz w:w="12240" w:h="15840"/>
          <w:pgMar w:top="1080" w:right="936" w:bottom="1080" w:left="936" w:header="720" w:footer="720" w:gutter="0"/>
          <w:cols w:space="360" w:num="1"/>
          <w:docGrid w:linePitch="360"/>
        </w:sectPr>
      </w:pPr>
    </w:p>
    <w:p>
      <w:pPr>
        <w:spacing w:before="100" w:after="40"/>
      </w:pPr>
      <w:r>
        <w:rPr>
          <w:rFonts w:ascii="Times New Roman" w:hAnsi="Times New Roman"/>
          <w:b/>
          <w:i/>
          <w:sz w:val="19"/>
        </w:rPr>
        <w:t xml:space="preserve">A. </w:t>
      </w:r>
      <w:r>
        <w:rPr>
          <w:rFonts w:ascii="Times New Roman" w:hAnsi="Times New Roman"/>
          <w:i/>
        </w:rPr>
        <w:t>Gösterim ve Ön İşleme</w:t>
      </w:r>
    </w:p>
    <w:p>
      <w:pPr>
        <w:spacing w:before="0" w:after="60" w:line="240" w:lineRule="auto"/>
        <w:ind w:firstLine="202"/>
        <w:jc w:val="both"/>
      </w:pPr>
      <w:r>
        <w:rPr>
          <w:rFonts w:ascii="Times New Roman" w:hAnsi="Times New Roman"/>
          <w:b w:val="0"/>
          <w:i w:val="0"/>
          <w:sz w:val="19"/>
        </w:rPr>
        <w:t>Bir veri kümesi D = {(xᵢ, yᵢ)} ile gösterilsin; xᵢ ∈ ℝᵈ öznitelik vektörü, yᵢ ∈ {1, …, K} sınıf etiketidir. Tüm ön işleme adımları yalnızca eğitim katı üzerinde kestirilir. Eksik değerler missForest [21] ile doldurulur: eksik değer içeren her öznitelik, diğer öznitelikler kullanılarak eğitilen bir rastgele ormanla (sürekli değişkenlerde regresyon, ikili ve az düzeyli değişkenlerde sınıflandırma; 100 ağaç) yinelemeli olarak kestirilir. Doldurucu yalnızca eğitim katında öğrenilir ve test katı bu modellerle doldurulur. Ardından her öznitelik, eğitim katından hesaplanan en küçük ve en büyük değerlerle [0, 1] aralığına ölçeklenir. Test katı, bu kestirimler kullanılarak dönüştürülür ve hiçbir aşamada istatistik kestirimine katılmaz.</w:t>
      </w:r>
    </w:p>
    <w:p>
      <w:pPr>
        <w:spacing w:before="100" w:after="40"/>
      </w:pPr>
      <w:r>
        <w:rPr>
          <w:rFonts w:ascii="Times New Roman" w:hAnsi="Times New Roman"/>
          <w:b/>
          <w:i/>
          <w:sz w:val="19"/>
        </w:rPr>
        <w:t xml:space="preserve">B. </w:t>
      </w:r>
      <w:r>
        <w:rPr>
          <w:rFonts w:ascii="Times New Roman" w:hAnsi="Times New Roman"/>
          <w:i/>
        </w:rPr>
        <w:t>Sınıf Koşullu Varyasyonel Oto-Kodlayıcı</w:t>
      </w:r>
    </w:p>
    <w:p>
      <w:pPr>
        <w:spacing w:before="0" w:after="60" w:line="240" w:lineRule="auto"/>
        <w:ind w:firstLine="202"/>
        <w:jc w:val="both"/>
      </w:pPr>
      <w:r>
        <w:rPr>
          <w:rFonts w:ascii="Times New Roman" w:hAnsi="Times New Roman"/>
          <w:b w:val="0"/>
          <w:i w:val="0"/>
          <w:sz w:val="19"/>
        </w:rPr>
        <w:t xml:space="preserve">Hibrit artırmanın üretken bileşeni, girdiye ek olarak sınıf etiketini de koşul alan bir koşullu varyasyonel oto-kodlayıcıdır (CVAE) [22] (Şekil 2). Kodlayıcı qφ(z | x, y), girdiyi ve bir-sıcak kodlanmış etiketi alarak gizil değişkenin değişimsel sonsal parametrelerini üretir: [μ, log σ²] = Encφ([x ; y]). Yeniden parametreleme hilesiyle gizil örnek z = μ + diag(σ) ε, ε ∼ N(0, I) biçiminde elde edilir (diag(σ) ε, öğe bazında çarpımdır). Kod çözücü x̂ = Decθ([z ; y]) girdiyi yeniden üretir. Ağ, kanıt alt sınırının negatifini en aza indirir: L = Eq[‖x − x̂‖²] + β · DKL(qφ(z | x, y) ‖ N(0, I)). Birinci terim yeniden yapılandırma hatası, ikinci terim gizil sonsalı standart normal önsele yaklaştıran düzenlileştirmedir. Kodlayıcı ve kod çözücü birer gizli katmanlı (32 birim, tanh) ileri beslemeli ağlardır; gizil boyut 6, çıkış katmanı sigmoid, eniyileyici Adam (öğrenme oranı 5·10⁻³), β = 0,1 ve eğitim 250 çağ sürer.</w:t>
      </w:r>
    </w:p>
    <w:p>
      <w:pPr>
        <w:sectPr>
          <w:type w:val="continuous"/>
          <w:pgSz w:w="12240" w:h="15840"/>
          <w:pgMar w:top="1080" w:right="936" w:bottom="1080" w:left="936" w:header="720" w:footer="720" w:gutter="0"/>
          <w:cols w:space="360" w:num="2"/>
          <w:docGrid w:linePitch="360"/>
        </w:sectPr>
      </w:pPr>
    </w:p>
    <w:p>
      <w:pPr>
        <w:jc w:val="center"/>
      </w:pPr>
      <w:r>
        <w:drawing>
          <wp:inline xmlns:a="http://schemas.openxmlformats.org/drawingml/2006/main" xmlns:pic="http://schemas.openxmlformats.org/drawingml/2006/picture">
            <wp:extent cx="5852160" cy="2924021"/>
            <wp:docPr id="2" name="Picture 2"/>
            <wp:cNvGraphicFramePr>
              <a:graphicFrameLocks noChangeAspect="1"/>
            </wp:cNvGraphicFramePr>
            <a:graphic>
              <a:graphicData uri="http://schemas.openxmlformats.org/drawingml/2006/picture">
                <pic:pic>
                  <pic:nvPicPr>
                    <pic:cNvPr id="0" name="fig_cvae_arch_user.jpg"/>
                    <pic:cNvPicPr/>
                  </pic:nvPicPr>
                  <pic:blipFill>
                    <a:blip r:embed="rId10"/>
                    <a:stretch>
                      <a:fillRect/>
                    </a:stretch>
                  </pic:blipFill>
                  <pic:spPr>
                    <a:xfrm>
                      <a:off x="0" y="0"/>
                      <a:ext cx="5852160" cy="2924021"/>
                    </a:xfrm>
                    <a:prstGeom prst="rect"/>
                  </pic:spPr>
                </pic:pic>
              </a:graphicData>
            </a:graphic>
          </wp:inline>
        </w:drawing>
      </w:r>
    </w:p>
    <w:p>
      <w:pPr>
        <w:spacing w:after="80"/>
        <w:jc w:val="center"/>
      </w:pPr>
      <w:r>
        <w:rPr>
          <w:rFonts w:ascii="Times New Roman" w:hAnsi="Times New Roman"/>
          <w:sz w:val="17"/>
        </w:rPr>
        <w:t>Şekil 2. Sınıf koşullu varyasyonel oto-kodlayıcı (CVAE) mimarisi. Kodlayıcı ve kod çözücü, girdiye ek olarak sınıf etiketi y ile koşullandırılır; gizil değişken z = μ + diag(σ) ε (ε ∼ N(0, I)) ile örneklenir ve ağ, yeniden yapılandırma hatası ile β ağırlıklı KL düzenlileştirmesinin toplamını en aza indirir. Üretim aşamasında z önselden (N(0, I)) çekilerek sınıf koşullu sentetik örnekler elde edilir.</w:t>
      </w:r>
    </w:p>
    <w:p>
      <w:pPr>
        <w:sectPr>
          <w:type w:val="continuous"/>
          <w:pgSz w:w="12240" w:h="15840"/>
          <w:pgMar w:top="1080" w:right="936" w:bottom="1080" w:left="936" w:header="720" w:footer="720" w:gutter="0"/>
          <w:cols w:space="360" w:num="1"/>
          <w:docGrid w:linePitch="360"/>
        </w:sectPr>
      </w:pPr>
    </w:p>
    <w:p>
      <w:pPr>
        <w:spacing w:before="100" w:after="40"/>
      </w:pPr>
      <w:r>
        <w:rPr>
          <w:rFonts w:ascii="Times New Roman" w:hAnsi="Times New Roman"/>
          <w:b/>
          <w:i/>
          <w:sz w:val="19"/>
        </w:rPr>
        <w:t xml:space="preserve">C. </w:t>
      </w:r>
      <w:r>
        <w:rPr>
          <w:rFonts w:ascii="Times New Roman" w:hAnsi="Times New Roman"/>
          <w:i/>
        </w:rPr>
        <w:t>Sentetik Örnek Üretimi</w:t>
      </w:r>
    </w:p>
    <w:p>
      <w:pPr>
        <w:spacing w:before="0" w:after="60" w:line="240" w:lineRule="auto"/>
        <w:ind w:firstLine="202"/>
        <w:jc w:val="both"/>
      </w:pPr>
      <w:r>
        <w:rPr>
          <w:rFonts w:ascii="Times New Roman" w:hAnsi="Times New Roman"/>
          <w:b w:val="0"/>
          <w:i w:val="0"/>
          <w:sz w:val="19"/>
        </w:rPr>
        <w:t>Eğitim sonrası, istenen bir y sınıfı için gizil örnek standart normal önselden çekilir ve kod çözücüden geçirilir: z ∼ N(0, I), xsyn = Decθ([z ; y]). Üretilen örnek, mevcut bir örneğin dönüşümü değil, öğrenilmiş sınıf-koşullu dağılımdan bir çekilimdir; etiketi koşul tarafından doğrudan belirlenir.</w:t>
      </w:r>
    </w:p>
    <w:p>
      <w:pPr>
        <w:spacing w:before="100" w:after="40"/>
      </w:pPr>
      <w:r>
        <w:rPr>
          <w:rFonts w:ascii="Times New Roman" w:hAnsi="Times New Roman"/>
          <w:b/>
          <w:i/>
          <w:sz w:val="19"/>
        </w:rPr>
        <w:t xml:space="preserve">D. </w:t>
      </w:r>
      <w:r>
        <w:rPr>
          <w:rFonts w:ascii="Times New Roman" w:hAnsi="Times New Roman"/>
          <w:i/>
        </w:rPr>
        <w:t>Hibrit Artırma</w:t>
      </w:r>
    </w:p>
    <w:p>
      <w:pPr>
        <w:spacing w:before="0" w:after="60" w:line="240" w:lineRule="auto"/>
        <w:ind w:firstLine="202"/>
        <w:jc w:val="both"/>
      </w:pPr>
      <w:r>
        <w:rPr>
          <w:rFonts w:ascii="Times New Roman" w:hAnsi="Times New Roman"/>
          <w:b w:val="0"/>
          <w:i w:val="0"/>
          <w:sz w:val="19"/>
        </w:rPr>
        <w:t>Hibrit artırma iki kaynağı birleştirir. SMOTE, azınlık örnekleri arasında interpolasyonla sınıfları dengeleyen bir küme D_SMOTE üretir. CVAE ise her orijinal örneğe karşılık ilgili sınıftan önselden örneklenmiş bir sentetik örnek üreterek D_CVAE kümesini oluşturur. Artırılmış eğitim kümesi bu iki kaynağın birleşimidir: D_aug = D_SMOTE ∪ D_CVAE. SMOTE dışbükey örtü içinde sınıf dengesi sağlarken, CVAE örneklemesi örtü dışına çıkan stokastik çeşitlilik katar. SMOTE azınlık sınıfını çoğunluk sınıfına eşitlerken, CVAE her eğitim örneğine karşılık kendi sınıfından bir sentetik örnek üretir; dolayısıyla D_aug, SMOTE ile tam dengelenmiş bir alt küme ile orijinal sınıf oranını koruyan bir CVAE alt kümesinin birleşimidir ve sınıf dengesizliğini azaltır ancak tümüyle gidermez (örneğin Pelvic eğitim katında 168/80 oranındaki dağılım 336/248'e dönüşür). D_aug yalnızca eğitimde kullanılır.</w:t>
      </w:r>
    </w:p>
    <w:p>
      <w:pPr>
        <w:spacing w:before="100" w:after="40"/>
      </w:pPr>
      <w:r>
        <w:rPr>
          <w:rFonts w:ascii="Times New Roman" w:hAnsi="Times New Roman"/>
          <w:b/>
          <w:i/>
          <w:sz w:val="19"/>
        </w:rPr>
        <w:t xml:space="preserve">E. </w:t>
      </w:r>
      <w:r>
        <w:rPr>
          <w:rFonts w:ascii="Times New Roman" w:hAnsi="Times New Roman"/>
          <w:i/>
        </w:rPr>
        <w:t>Değerlendirme Protokolü</w:t>
      </w:r>
    </w:p>
    <w:p>
      <w:pPr>
        <w:spacing w:before="0" w:after="60" w:line="240" w:lineRule="auto"/>
        <w:ind w:firstLine="202"/>
        <w:jc w:val="both"/>
      </w:pPr>
      <w:r>
        <w:rPr>
          <w:rFonts w:ascii="Times New Roman" w:hAnsi="Times New Roman"/>
          <w:b w:val="0"/>
          <w:i w:val="0"/>
          <w:sz w:val="19"/>
        </w:rPr>
        <w:t xml:space="preserve">Her veri kümesi, tekrarlı tabakalı çapraz doğrulama ile bölünür [23]. Her katta ön işleme ve artırma yalnızca eğitim kısmında yapılır; ardından bir sınıflandırıcı D_aug üzerinde eğitilir ve dokunulmamış test katında değerlendirilir. Ana değerlendirme altı çekirdek sınıflandırıcıyı (lojistik regresyon, RBF çekirdekli destek vektör makinesi, k-en yakın komşu, rastgele orman, aşırı rastgele ağaçlar, XGBoost) ve beş kat–iki tekrarlı tabakalı çapraz doğrulamayı kapsar; sağlamlık için, bu altı sınıflandırıcıyı da içeren on beş sınıflandırıcılık daha geniş bir küme kullanılır. Tüm rastgelelik tohumları sabitlenmiş (çapraz doğrulama, sınıflandırıcılar ve sentetik üretim ortak bir tohumla); ağaç toplulukları 300 ağaçla, diğer sınıflandırıcılar varsayılan hiperparametrelerle kullanılmıştır. Başarım ölçütleri dengeli doğruluk ve makro-F1'dir; düz doğruluk ikincil olarak raporlanır. Ayrıca, artırmanın bölünmeden önce tüm veriye uygulandığı naif protokol, aynı veri ve sınıflandırıcılarla yürütülerek protokol seçiminin başarım tahminine etkisi ölçülür. Naif protokolde doldurma, ölçekleme ve hibrit artırma önce tüm veriye uygulanır ve çapraz doğrulama bu artırılmış havuz üzerinde yürütülür; böylece sentetik örnekler, türetildikleri orijinal örneklerle birlikte aynı anda eğitim ve test katlarına düşebilir.</w:t>
      </w:r>
    </w:p>
    <w:p>
      <w:pPr>
        <w:spacing w:before="160" w:after="60"/>
        <w:jc w:val="center"/>
      </w:pPr>
      <w:r>
        <w:rPr>
          <w:rFonts w:ascii="Times New Roman" w:hAnsi="Times New Roman"/>
          <w:b/>
          <w:sz w:val="19"/>
        </w:rPr>
        <w:t>IV. DENEYSEL TASARIM</w:t>
      </w:r>
    </w:p>
    <w:p>
      <w:pPr>
        <w:spacing w:before="0" w:after="60" w:line="240" w:lineRule="auto"/>
        <w:ind w:firstLine="202"/>
        <w:jc w:val="both"/>
      </w:pPr>
      <w:r>
        <w:rPr>
          <w:rFonts w:ascii="Times New Roman" w:hAnsi="Times New Roman"/>
          <w:b w:val="0"/>
          <w:i w:val="0"/>
          <w:sz w:val="19"/>
        </w:rPr>
        <w:t xml:space="preserve">Deneyler, UCI deposundan alınan yedi ikili sınıflandırma veri kümesinde yürütülmüştür [24] (Tablo I). Veri kümeleri örnek sayısı (N = 155–768), öznitelik sayısı (d = 6–60) ve sınıf dengesizliği oranı (1,14–3,84) bakımından çeşitlilik gösterir. Glass veri kümesi, pencere/pencere-dışı ayrımıyla ikili hâle getirilmiştir [25]. Hepatitis (167 hücre) ve Heart Disease (6 hücre) eksik değer içerir; bunlar kat içinde missForest ile doldurulmuştur.</w:t>
      </w:r>
    </w:p>
    <w:p>
      <w:pPr>
        <w:sectPr>
          <w:type w:val="continuous"/>
          <w:pgSz w:w="12240" w:h="15840"/>
          <w:pgMar w:top="1080" w:right="936" w:bottom="1080" w:left="936" w:header="720" w:footer="720" w:gutter="0"/>
          <w:cols w:space="360" w:num="2"/>
          <w:docGrid w:linePitch="360"/>
        </w:sectPr>
      </w:pPr>
    </w:p>
    <w:p>
      <w:pPr>
        <w:spacing w:before="120" w:after="40"/>
        <w:jc w:val="center"/>
      </w:pPr>
      <w:r>
        <w:rPr>
          <w:rFonts w:ascii="Times New Roman" w:hAnsi="Times New Roman"/>
          <w:b/>
          <w:sz w:val="17"/>
        </w:rPr>
        <w:t>TABLO I. Veri Kümelerinin Özellikleri</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944"/>
          </w:tcPr>
          <w:p>
            <w:pPr>
              <w:jc w:val="center"/>
            </w:pPr>
            <w:r>
              <w:rPr>
                <w:rFonts w:ascii="Times New Roman" w:hAnsi="Times New Roman"/>
                <w:b/>
                <w:sz w:val="16"/>
              </w:rPr>
              <w:t>Veri kümesi</w:t>
            </w:r>
          </w:p>
        </w:tc>
        <w:tc>
          <w:tcPr>
            <w:tcW w:type="dxa" w:w="1008"/>
          </w:tcPr>
          <w:p>
            <w:pPr>
              <w:jc w:val="center"/>
            </w:pPr>
            <w:r>
              <w:rPr>
                <w:rFonts w:ascii="Times New Roman" w:hAnsi="Times New Roman"/>
                <w:b/>
                <w:sz w:val="16"/>
              </w:rPr>
              <w:t>N</w:t>
            </w:r>
          </w:p>
        </w:tc>
        <w:tc>
          <w:tcPr>
            <w:tcW w:type="dxa" w:w="864"/>
          </w:tcPr>
          <w:p>
            <w:pPr>
              <w:jc w:val="center"/>
            </w:pPr>
            <w:r>
              <w:rPr>
                <w:rFonts w:ascii="Times New Roman" w:hAnsi="Times New Roman"/>
                <w:b/>
                <w:sz w:val="16"/>
              </w:rPr>
              <w:t>d</w:t>
            </w:r>
          </w:p>
        </w:tc>
        <w:tc>
          <w:tcPr>
            <w:tcW w:type="dxa" w:w="1944"/>
          </w:tcPr>
          <w:p>
            <w:pPr>
              <w:jc w:val="center"/>
            </w:pPr>
            <w:r>
              <w:rPr>
                <w:rFonts w:ascii="Times New Roman" w:hAnsi="Times New Roman"/>
                <w:b/>
                <w:sz w:val="16"/>
              </w:rPr>
              <w:t>Sınıf dağılımı</w:t>
            </w:r>
          </w:p>
        </w:tc>
        <w:tc>
          <w:tcPr>
            <w:tcW w:type="dxa" w:w="2160"/>
          </w:tcPr>
          <w:p>
            <w:pPr>
              <w:jc w:val="center"/>
            </w:pPr>
            <w:r>
              <w:rPr>
                <w:rFonts w:ascii="Times New Roman" w:hAnsi="Times New Roman"/>
                <w:b/>
                <w:sz w:val="16"/>
              </w:rPr>
              <w:t>Dengesizlik oranı</w:t>
            </w:r>
          </w:p>
        </w:tc>
        <w:tc>
          <w:tcPr>
            <w:tcW w:type="dxa" w:w="2160"/>
          </w:tcPr>
          <w:p>
            <w:pPr>
              <w:jc w:val="center"/>
            </w:pPr>
            <w:r>
              <w:rPr>
                <w:rFonts w:ascii="Times New Roman" w:hAnsi="Times New Roman"/>
                <w:b/>
                <w:sz w:val="16"/>
              </w:rPr>
              <w:t>Eksik hücre</w:t>
            </w:r>
          </w:p>
        </w:tc>
      </w:tr>
      <w:tr>
        <w:tc>
          <w:tcPr>
            <w:tcW w:type="dxa" w:w="1944"/>
          </w:tcPr>
          <w:p>
            <w:pPr>
              <w:jc w:val="left"/>
            </w:pPr>
            <w:r>
              <w:rPr>
                <w:rFonts w:ascii="Times New Roman" w:hAnsi="Times New Roman"/>
                <w:sz w:val="16"/>
              </w:rPr>
              <w:t>Pelvic</w:t>
            </w:r>
          </w:p>
        </w:tc>
        <w:tc>
          <w:tcPr>
            <w:tcW w:type="dxa" w:w="1008"/>
          </w:tcPr>
          <w:p>
            <w:pPr>
              <w:jc w:val="center"/>
            </w:pPr>
            <w:r>
              <w:rPr>
                <w:rFonts w:ascii="Times New Roman" w:hAnsi="Times New Roman"/>
                <w:sz w:val="16"/>
              </w:rPr>
              <w:t>310</w:t>
            </w:r>
          </w:p>
        </w:tc>
        <w:tc>
          <w:tcPr>
            <w:tcW w:type="dxa" w:w="864"/>
          </w:tcPr>
          <w:p>
            <w:pPr>
              <w:jc w:val="center"/>
            </w:pPr>
            <w:r>
              <w:rPr>
                <w:rFonts w:ascii="Times New Roman" w:hAnsi="Times New Roman"/>
                <w:sz w:val="16"/>
              </w:rPr>
              <w:t>6</w:t>
            </w:r>
          </w:p>
        </w:tc>
        <w:tc>
          <w:tcPr>
            <w:tcW w:type="dxa" w:w="1944"/>
          </w:tcPr>
          <w:p>
            <w:pPr>
              <w:jc w:val="center"/>
            </w:pPr>
            <w:r>
              <w:rPr>
                <w:rFonts w:ascii="Times New Roman" w:hAnsi="Times New Roman"/>
                <w:sz w:val="16"/>
              </w:rPr>
              <w:t>210 / 100</w:t>
            </w:r>
          </w:p>
        </w:tc>
        <w:tc>
          <w:tcPr>
            <w:tcW w:type="dxa" w:w="2160"/>
          </w:tcPr>
          <w:p>
            <w:pPr>
              <w:jc w:val="center"/>
            </w:pPr>
            <w:r>
              <w:rPr>
                <w:rFonts w:ascii="Times New Roman" w:hAnsi="Times New Roman"/>
                <w:sz w:val="16"/>
              </w:rPr>
              <w:t>2,10</w:t>
            </w:r>
          </w:p>
        </w:tc>
        <w:tc>
          <w:tcPr>
            <w:tcW w:type="dxa" w:w="2160"/>
          </w:tcPr>
          <w:p>
            <w:pPr>
              <w:jc w:val="center"/>
            </w:pPr>
            <w:r>
              <w:rPr>
                <w:rFonts w:ascii="Times New Roman" w:hAnsi="Times New Roman"/>
                <w:sz w:val="16"/>
              </w:rPr>
              <w:t>0</w:t>
            </w:r>
          </w:p>
        </w:tc>
      </w:tr>
      <w:tr>
        <w:tc>
          <w:tcPr>
            <w:tcW w:type="dxa" w:w="1944"/>
          </w:tcPr>
          <w:p>
            <w:pPr>
              <w:jc w:val="left"/>
            </w:pPr>
            <w:r>
              <w:rPr>
                <w:rFonts w:ascii="Times New Roman" w:hAnsi="Times New Roman"/>
                <w:sz w:val="16"/>
              </w:rPr>
              <w:t>Hepatitis</w:t>
            </w:r>
          </w:p>
        </w:tc>
        <w:tc>
          <w:tcPr>
            <w:tcW w:type="dxa" w:w="1008"/>
          </w:tcPr>
          <w:p>
            <w:pPr>
              <w:jc w:val="center"/>
            </w:pPr>
            <w:r>
              <w:rPr>
                <w:rFonts w:ascii="Times New Roman" w:hAnsi="Times New Roman"/>
                <w:sz w:val="16"/>
              </w:rPr>
              <w:t>155</w:t>
            </w:r>
          </w:p>
        </w:tc>
        <w:tc>
          <w:tcPr>
            <w:tcW w:type="dxa" w:w="864"/>
          </w:tcPr>
          <w:p>
            <w:pPr>
              <w:jc w:val="center"/>
            </w:pPr>
            <w:r>
              <w:rPr>
                <w:rFonts w:ascii="Times New Roman" w:hAnsi="Times New Roman"/>
                <w:sz w:val="16"/>
              </w:rPr>
              <w:t>19</w:t>
            </w:r>
          </w:p>
        </w:tc>
        <w:tc>
          <w:tcPr>
            <w:tcW w:type="dxa" w:w="1944"/>
          </w:tcPr>
          <w:p>
            <w:pPr>
              <w:jc w:val="center"/>
            </w:pPr>
            <w:r>
              <w:rPr>
                <w:rFonts w:ascii="Times New Roman" w:hAnsi="Times New Roman"/>
                <w:sz w:val="16"/>
              </w:rPr>
              <w:t>123 / 32</w:t>
            </w:r>
          </w:p>
        </w:tc>
        <w:tc>
          <w:tcPr>
            <w:tcW w:type="dxa" w:w="2160"/>
          </w:tcPr>
          <w:p>
            <w:pPr>
              <w:jc w:val="center"/>
            </w:pPr>
            <w:r>
              <w:rPr>
                <w:rFonts w:ascii="Times New Roman" w:hAnsi="Times New Roman"/>
                <w:sz w:val="16"/>
              </w:rPr>
              <w:t>3,84</w:t>
            </w:r>
          </w:p>
        </w:tc>
        <w:tc>
          <w:tcPr>
            <w:tcW w:type="dxa" w:w="2160"/>
          </w:tcPr>
          <w:p>
            <w:pPr>
              <w:jc w:val="center"/>
            </w:pPr>
            <w:r>
              <w:rPr>
                <w:rFonts w:ascii="Times New Roman" w:hAnsi="Times New Roman"/>
                <w:sz w:val="16"/>
              </w:rPr>
              <w:t>167</w:t>
            </w:r>
          </w:p>
        </w:tc>
      </w:tr>
      <w:tr>
        <w:tc>
          <w:tcPr>
            <w:tcW w:type="dxa" w:w="1944"/>
          </w:tcPr>
          <w:p>
            <w:pPr>
              <w:jc w:val="left"/>
            </w:pPr>
            <w:r>
              <w:rPr>
                <w:rFonts w:ascii="Times New Roman" w:hAnsi="Times New Roman"/>
                <w:sz w:val="16"/>
              </w:rPr>
              <w:t>Parkinson's</w:t>
            </w:r>
          </w:p>
        </w:tc>
        <w:tc>
          <w:tcPr>
            <w:tcW w:type="dxa" w:w="1008"/>
          </w:tcPr>
          <w:p>
            <w:pPr>
              <w:jc w:val="center"/>
            </w:pPr>
            <w:r>
              <w:rPr>
                <w:rFonts w:ascii="Times New Roman" w:hAnsi="Times New Roman"/>
                <w:sz w:val="16"/>
              </w:rPr>
              <w:t>195</w:t>
            </w:r>
          </w:p>
        </w:tc>
        <w:tc>
          <w:tcPr>
            <w:tcW w:type="dxa" w:w="864"/>
          </w:tcPr>
          <w:p>
            <w:pPr>
              <w:jc w:val="center"/>
            </w:pPr>
            <w:r>
              <w:rPr>
                <w:rFonts w:ascii="Times New Roman" w:hAnsi="Times New Roman"/>
                <w:sz w:val="16"/>
              </w:rPr>
              <w:t>22</w:t>
            </w:r>
          </w:p>
        </w:tc>
        <w:tc>
          <w:tcPr>
            <w:tcW w:type="dxa" w:w="1944"/>
          </w:tcPr>
          <w:p>
            <w:pPr>
              <w:jc w:val="center"/>
            </w:pPr>
            <w:r>
              <w:rPr>
                <w:rFonts w:ascii="Times New Roman" w:hAnsi="Times New Roman"/>
                <w:sz w:val="16"/>
              </w:rPr>
              <w:t>48 / 147</w:t>
            </w:r>
          </w:p>
        </w:tc>
        <w:tc>
          <w:tcPr>
            <w:tcW w:type="dxa" w:w="2160"/>
          </w:tcPr>
          <w:p>
            <w:pPr>
              <w:jc w:val="center"/>
            </w:pPr>
            <w:r>
              <w:rPr>
                <w:rFonts w:ascii="Times New Roman" w:hAnsi="Times New Roman"/>
                <w:sz w:val="16"/>
              </w:rPr>
              <w:t>3,06</w:t>
            </w:r>
          </w:p>
        </w:tc>
        <w:tc>
          <w:tcPr>
            <w:tcW w:type="dxa" w:w="2160"/>
          </w:tcPr>
          <w:p>
            <w:pPr>
              <w:jc w:val="center"/>
            </w:pPr>
            <w:r>
              <w:rPr>
                <w:rFonts w:ascii="Times New Roman" w:hAnsi="Times New Roman"/>
                <w:sz w:val="16"/>
              </w:rPr>
              <w:t>0</w:t>
            </w:r>
          </w:p>
        </w:tc>
      </w:tr>
      <w:tr>
        <w:tc>
          <w:tcPr>
            <w:tcW w:type="dxa" w:w="1944"/>
          </w:tcPr>
          <w:p>
            <w:pPr>
              <w:jc w:val="left"/>
            </w:pPr>
            <w:r>
              <w:rPr>
                <w:rFonts w:ascii="Times New Roman" w:hAnsi="Times New Roman"/>
                <w:sz w:val="16"/>
              </w:rPr>
              <w:t>Heart Disease</w:t>
            </w:r>
          </w:p>
        </w:tc>
        <w:tc>
          <w:tcPr>
            <w:tcW w:type="dxa" w:w="1008"/>
          </w:tcPr>
          <w:p>
            <w:pPr>
              <w:jc w:val="center"/>
            </w:pPr>
            <w:r>
              <w:rPr>
                <w:rFonts w:ascii="Times New Roman" w:hAnsi="Times New Roman"/>
                <w:sz w:val="16"/>
              </w:rPr>
              <w:t>303</w:t>
            </w:r>
          </w:p>
        </w:tc>
        <w:tc>
          <w:tcPr>
            <w:tcW w:type="dxa" w:w="864"/>
          </w:tcPr>
          <w:p>
            <w:pPr>
              <w:jc w:val="center"/>
            </w:pPr>
            <w:r>
              <w:rPr>
                <w:rFonts w:ascii="Times New Roman" w:hAnsi="Times New Roman"/>
                <w:sz w:val="16"/>
              </w:rPr>
              <w:t>13</w:t>
            </w:r>
          </w:p>
        </w:tc>
        <w:tc>
          <w:tcPr>
            <w:tcW w:type="dxa" w:w="1944"/>
          </w:tcPr>
          <w:p>
            <w:pPr>
              <w:jc w:val="center"/>
            </w:pPr>
            <w:r>
              <w:rPr>
                <w:rFonts w:ascii="Times New Roman" w:hAnsi="Times New Roman"/>
                <w:sz w:val="16"/>
              </w:rPr>
              <w:t>164 / 139</w:t>
            </w:r>
          </w:p>
        </w:tc>
        <w:tc>
          <w:tcPr>
            <w:tcW w:type="dxa" w:w="2160"/>
          </w:tcPr>
          <w:p>
            <w:pPr>
              <w:jc w:val="center"/>
            </w:pPr>
            <w:r>
              <w:rPr>
                <w:rFonts w:ascii="Times New Roman" w:hAnsi="Times New Roman"/>
                <w:sz w:val="16"/>
              </w:rPr>
              <w:t>1,18</w:t>
            </w:r>
          </w:p>
        </w:tc>
        <w:tc>
          <w:tcPr>
            <w:tcW w:type="dxa" w:w="2160"/>
          </w:tcPr>
          <w:p>
            <w:pPr>
              <w:jc w:val="center"/>
            </w:pPr>
            <w:r>
              <w:rPr>
                <w:rFonts w:ascii="Times New Roman" w:hAnsi="Times New Roman"/>
                <w:sz w:val="16"/>
              </w:rPr>
              <w:t>6</w:t>
            </w:r>
          </w:p>
        </w:tc>
      </w:tr>
      <w:tr>
        <w:tc>
          <w:tcPr>
            <w:tcW w:type="dxa" w:w="1944"/>
          </w:tcPr>
          <w:p>
            <w:pPr>
              <w:jc w:val="left"/>
            </w:pPr>
            <w:r>
              <w:rPr>
                <w:rFonts w:ascii="Times New Roman" w:hAnsi="Times New Roman"/>
                <w:sz w:val="16"/>
              </w:rPr>
              <w:t>Pima Diabetes</w:t>
            </w:r>
          </w:p>
        </w:tc>
        <w:tc>
          <w:tcPr>
            <w:tcW w:type="dxa" w:w="1008"/>
          </w:tcPr>
          <w:p>
            <w:pPr>
              <w:jc w:val="center"/>
            </w:pPr>
            <w:r>
              <w:rPr>
                <w:rFonts w:ascii="Times New Roman" w:hAnsi="Times New Roman"/>
                <w:sz w:val="16"/>
              </w:rPr>
              <w:t>768</w:t>
            </w:r>
          </w:p>
        </w:tc>
        <w:tc>
          <w:tcPr>
            <w:tcW w:type="dxa" w:w="864"/>
          </w:tcPr>
          <w:p>
            <w:pPr>
              <w:jc w:val="center"/>
            </w:pPr>
            <w:r>
              <w:rPr>
                <w:rFonts w:ascii="Times New Roman" w:hAnsi="Times New Roman"/>
                <w:sz w:val="16"/>
              </w:rPr>
              <w:t>8</w:t>
            </w:r>
          </w:p>
        </w:tc>
        <w:tc>
          <w:tcPr>
            <w:tcW w:type="dxa" w:w="1944"/>
          </w:tcPr>
          <w:p>
            <w:pPr>
              <w:jc w:val="center"/>
            </w:pPr>
            <w:r>
              <w:rPr>
                <w:rFonts w:ascii="Times New Roman" w:hAnsi="Times New Roman"/>
                <w:sz w:val="16"/>
              </w:rPr>
              <w:t>500 / 268</w:t>
            </w:r>
          </w:p>
        </w:tc>
        <w:tc>
          <w:tcPr>
            <w:tcW w:type="dxa" w:w="2160"/>
          </w:tcPr>
          <w:p>
            <w:pPr>
              <w:jc w:val="center"/>
            </w:pPr>
            <w:r>
              <w:rPr>
                <w:rFonts w:ascii="Times New Roman" w:hAnsi="Times New Roman"/>
                <w:sz w:val="16"/>
              </w:rPr>
              <w:t>1,87</w:t>
            </w:r>
          </w:p>
        </w:tc>
        <w:tc>
          <w:tcPr>
            <w:tcW w:type="dxa" w:w="2160"/>
          </w:tcPr>
          <w:p>
            <w:pPr>
              <w:jc w:val="center"/>
            </w:pPr>
            <w:r>
              <w:rPr>
                <w:rFonts w:ascii="Times New Roman" w:hAnsi="Times New Roman"/>
                <w:sz w:val="16"/>
              </w:rPr>
              <w:t>0</w:t>
            </w:r>
          </w:p>
        </w:tc>
      </w:tr>
      <w:tr>
        <w:tc>
          <w:tcPr>
            <w:tcW w:type="dxa" w:w="1944"/>
          </w:tcPr>
          <w:p>
            <w:pPr>
              <w:jc w:val="left"/>
            </w:pPr>
            <w:r>
              <w:rPr>
                <w:rFonts w:ascii="Times New Roman" w:hAnsi="Times New Roman"/>
                <w:sz w:val="16"/>
              </w:rPr>
              <w:t>Glass</w:t>
            </w:r>
          </w:p>
        </w:tc>
        <w:tc>
          <w:tcPr>
            <w:tcW w:type="dxa" w:w="1008"/>
          </w:tcPr>
          <w:p>
            <w:pPr>
              <w:jc w:val="center"/>
            </w:pPr>
            <w:r>
              <w:rPr>
                <w:rFonts w:ascii="Times New Roman" w:hAnsi="Times New Roman"/>
                <w:sz w:val="16"/>
              </w:rPr>
              <w:t>214</w:t>
            </w:r>
          </w:p>
        </w:tc>
        <w:tc>
          <w:tcPr>
            <w:tcW w:type="dxa" w:w="864"/>
          </w:tcPr>
          <w:p>
            <w:pPr>
              <w:jc w:val="center"/>
            </w:pPr>
            <w:r>
              <w:rPr>
                <w:rFonts w:ascii="Times New Roman" w:hAnsi="Times New Roman"/>
                <w:sz w:val="16"/>
              </w:rPr>
              <w:t>9</w:t>
            </w:r>
          </w:p>
        </w:tc>
        <w:tc>
          <w:tcPr>
            <w:tcW w:type="dxa" w:w="1944"/>
          </w:tcPr>
          <w:p>
            <w:pPr>
              <w:jc w:val="center"/>
            </w:pPr>
            <w:r>
              <w:rPr>
                <w:rFonts w:ascii="Times New Roman" w:hAnsi="Times New Roman"/>
                <w:sz w:val="16"/>
              </w:rPr>
              <w:t>51 / 163</w:t>
            </w:r>
          </w:p>
        </w:tc>
        <w:tc>
          <w:tcPr>
            <w:tcW w:type="dxa" w:w="2160"/>
          </w:tcPr>
          <w:p>
            <w:pPr>
              <w:jc w:val="center"/>
            </w:pPr>
            <w:r>
              <w:rPr>
                <w:rFonts w:ascii="Times New Roman" w:hAnsi="Times New Roman"/>
                <w:sz w:val="16"/>
              </w:rPr>
              <w:t>3,20</w:t>
            </w:r>
          </w:p>
        </w:tc>
        <w:tc>
          <w:tcPr>
            <w:tcW w:type="dxa" w:w="2160"/>
          </w:tcPr>
          <w:p>
            <w:pPr>
              <w:jc w:val="center"/>
            </w:pPr>
            <w:r>
              <w:rPr>
                <w:rFonts w:ascii="Times New Roman" w:hAnsi="Times New Roman"/>
                <w:sz w:val="16"/>
              </w:rPr>
              <w:t>0</w:t>
            </w:r>
          </w:p>
        </w:tc>
      </w:tr>
      <w:tr>
        <w:tc>
          <w:tcPr>
            <w:tcW w:type="dxa" w:w="1944"/>
          </w:tcPr>
          <w:p>
            <w:pPr>
              <w:jc w:val="left"/>
            </w:pPr>
            <w:r>
              <w:rPr>
                <w:rFonts w:ascii="Times New Roman" w:hAnsi="Times New Roman"/>
                <w:sz w:val="16"/>
              </w:rPr>
              <w:t>Sonar</w:t>
            </w:r>
          </w:p>
        </w:tc>
        <w:tc>
          <w:tcPr>
            <w:tcW w:type="dxa" w:w="1008"/>
          </w:tcPr>
          <w:p>
            <w:pPr>
              <w:jc w:val="center"/>
            </w:pPr>
            <w:r>
              <w:rPr>
                <w:rFonts w:ascii="Times New Roman" w:hAnsi="Times New Roman"/>
                <w:sz w:val="16"/>
              </w:rPr>
              <w:t>208</w:t>
            </w:r>
          </w:p>
        </w:tc>
        <w:tc>
          <w:tcPr>
            <w:tcW w:type="dxa" w:w="864"/>
          </w:tcPr>
          <w:p>
            <w:pPr>
              <w:jc w:val="center"/>
            </w:pPr>
            <w:r>
              <w:rPr>
                <w:rFonts w:ascii="Times New Roman" w:hAnsi="Times New Roman"/>
                <w:sz w:val="16"/>
              </w:rPr>
              <w:t>60</w:t>
            </w:r>
          </w:p>
        </w:tc>
        <w:tc>
          <w:tcPr>
            <w:tcW w:type="dxa" w:w="1944"/>
          </w:tcPr>
          <w:p>
            <w:pPr>
              <w:jc w:val="center"/>
            </w:pPr>
            <w:r>
              <w:rPr>
                <w:rFonts w:ascii="Times New Roman" w:hAnsi="Times New Roman"/>
                <w:sz w:val="16"/>
              </w:rPr>
              <w:t>97 / 111</w:t>
            </w:r>
          </w:p>
        </w:tc>
        <w:tc>
          <w:tcPr>
            <w:tcW w:type="dxa" w:w="2160"/>
          </w:tcPr>
          <w:p>
            <w:pPr>
              <w:jc w:val="center"/>
            </w:pPr>
            <w:r>
              <w:rPr>
                <w:rFonts w:ascii="Times New Roman" w:hAnsi="Times New Roman"/>
                <w:sz w:val="16"/>
              </w:rPr>
              <w:t>1,14</w:t>
            </w:r>
          </w:p>
        </w:tc>
        <w:tc>
          <w:tcPr>
            <w:tcW w:type="dxa" w:w="2160"/>
          </w:tcPr>
          <w:p>
            <w:pPr>
              <w:jc w:val="center"/>
            </w:pPr>
            <w:r>
              <w:rPr>
                <w:rFonts w:ascii="Times New Roman" w:hAnsi="Times New Roman"/>
                <w:sz w:val="16"/>
              </w:rPr>
              <w:t>0</w:t>
            </w:r>
          </w:p>
        </w:tc>
      </w:tr>
    </w:tbl>
    <w:p>
      <w:pPr>
        <w:spacing w:after="40"/>
      </w:pPr>
    </w:p>
    <w:p>
      <w:pPr>
        <w:sectPr>
          <w:type w:val="continuous"/>
          <w:pgSz w:w="12240" w:h="15840"/>
          <w:pgMar w:top="1080" w:right="936" w:bottom="1080" w:left="936" w:header="720" w:footer="720" w:gutter="0"/>
          <w:cols w:space="360" w:num="1"/>
          <w:docGrid w:linePitch="360"/>
        </w:sectPr>
      </w:pPr>
    </w:p>
    <w:p>
      <w:pPr>
        <w:spacing w:before="160" w:after="60"/>
        <w:jc w:val="center"/>
      </w:pPr>
      <w:r>
        <w:rPr>
          <w:rFonts w:ascii="Times New Roman" w:hAnsi="Times New Roman"/>
          <w:b/>
          <w:sz w:val="19"/>
        </w:rPr>
        <w:t>V. BULGULAR</w:t>
      </w:r>
    </w:p>
    <w:p>
      <w:pPr>
        <w:spacing w:before="0" w:after="60" w:line="240" w:lineRule="auto"/>
        <w:ind w:firstLine="202"/>
        <w:jc w:val="both"/>
      </w:pPr>
      <w:r>
        <w:rPr>
          <w:rFonts w:ascii="Times New Roman" w:hAnsi="Times New Roman"/>
          <w:b w:val="0"/>
          <w:i w:val="0"/>
          <w:sz w:val="19"/>
        </w:rPr>
        <w:t>Tablo II ve Tablo III, aynı hibrit artırmanın naif (artırma bölünmeden önce tüm veride) ve sızıntıya kapalı (artırma yalnız eğitim katında) protokoller altında düz doğruluğa etkisini karşılaştırır. Naif protokol, model geneli ortalamada doğruluğu 84,21'den 90,92'ye çıkarmakta (+6,71 yüzde puan); aynı artırma sızıntıya kapalı protokolde ise 84,03 düzeyinde kalmaktadır (−0,18 yüzde puan). Aradaki fark bir yöntem kazancı değil, artırmanın bölünmeden önce uygulanmasıyla sentetik örnek–orijinal bağımlılığının test katına taşınmasından kaynaklanan yapay şişmedir.</w:t>
      </w:r>
    </w:p>
    <w:p>
      <w:pPr>
        <w:spacing w:before="0" w:after="60" w:line="240" w:lineRule="auto"/>
        <w:ind w:firstLine="202"/>
        <w:jc w:val="both"/>
      </w:pPr>
      <w:r>
        <w:rPr>
          <w:rFonts w:ascii="Times New Roman" w:hAnsi="Times New Roman"/>
          <w:b w:val="0"/>
          <w:i w:val="0"/>
          <w:sz w:val="19"/>
        </w:rPr>
        <w:t>Düz doğruluk, sızıntıya kapalı kurulumda yöntemin yararını gizlemektedir; çünkü dengesiz veride bu ölçüt çoğunluk sınıfını kayırır. Dengesizliğe duyarlı ölçütlerle bakıldığında (Tablo IV), hibrit artırma, artırmasız temel duruma göre dengeli doğruluğu ortalama 79,62'den 82,11'e yükseltir (+2,49 yüzde puan); kazanç yedi veri kümesinin tamamında ve 42 veri kümesi–sınıflandırıcı kombinasyonundan 36'sında pozitiftir. Temel istatistiksel sonuç, veri kümesi düzeyindeki eşleştirilmiş Wilcoxon işaretli sıra testidir ve anlamlıdır (p = 0,016). Kombinasyon düzeyindeki test de anlamlı olmakla birlikte (p &lt; 10⁻⁷), aynı yedi veri kümesindeki farklı sınıflandırıcıların sonuçları birbirinden bağımsız olmadığından bu değer kanıtın gücünü olduğundan yüksek gösterebilir ve yalnızca tamamlayıcı olarak sunulmaktadır. En belirgin kazançlar lojistik regresyon (+4,0), k-en yakın komşu (+3,4) ve RBF çekirdekli destek vektör makinesi (+3,0) ile; veri kümesi düzeyinde ise Hepatitis (+4,6), Pelvic (+4,0) ve Parkinson's (+3,4 yüzde puan) ile gözlenmiştir. Makro-F1 de ortalamada artmıştır (+1,11 yüzde puan). Kazanç, altı çekirdeği de içeren on beş sınıflandırıcılık daha geniş kümede de korunmuştur (dengeli doğruluk +2,02 yüzde puan).</w:t>
      </w:r>
    </w:p>
    <w:p>
      <w:pPr>
        <w:sectPr>
          <w:type w:val="continuous"/>
          <w:pgSz w:w="12240" w:h="15840"/>
          <w:pgMar w:top="1080" w:right="936" w:bottom="1080" w:left="936" w:header="720" w:footer="720" w:gutter="0"/>
          <w:cols w:space="360" w:num="2"/>
          <w:docGrid w:linePitch="360"/>
        </w:sectPr>
      </w:pPr>
    </w:p>
    <w:p>
      <w:pPr>
        <w:spacing w:before="120" w:after="40"/>
        <w:jc w:val="center"/>
      </w:pPr>
      <w:r>
        <w:rPr>
          <w:rFonts w:ascii="Times New Roman" w:hAnsi="Times New Roman"/>
          <w:b/>
          <w:sz w:val="17"/>
        </w:rPr>
        <w:t>TABLO II. Model Geneli, Düz Doğruluk (7 veri kümesi ort., %)</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2304"/>
          </w:tcPr>
          <w:p>
            <w:pPr>
              <w:jc w:val="center"/>
            </w:pPr>
            <w:r>
              <w:rPr>
                <w:rFonts w:ascii="Times New Roman" w:hAnsi="Times New Roman"/>
                <w:b/>
                <w:sz w:val="16"/>
              </w:rPr>
              <w:t>Sınıflandırıcı</w:t>
            </w:r>
          </w:p>
        </w:tc>
        <w:tc>
          <w:tcPr>
            <w:tcW w:type="dxa" w:w="1440"/>
          </w:tcPr>
          <w:p>
            <w:pPr>
              <w:jc w:val="center"/>
            </w:pPr>
            <w:r>
              <w:rPr>
                <w:rFonts w:ascii="Times New Roman" w:hAnsi="Times New Roman"/>
                <w:b/>
                <w:sz w:val="16"/>
              </w:rPr>
              <w:t>Orijinal</w:t>
            </w:r>
          </w:p>
        </w:tc>
        <w:tc>
          <w:tcPr>
            <w:tcW w:type="dxa" w:w="1440"/>
          </w:tcPr>
          <w:p>
            <w:pPr>
              <w:jc w:val="center"/>
            </w:pPr>
            <w:r>
              <w:rPr>
                <w:rFonts w:ascii="Times New Roman" w:hAnsi="Times New Roman"/>
                <w:b/>
                <w:sz w:val="16"/>
              </w:rPr>
              <w:t>Naif</w:t>
            </w:r>
          </w:p>
        </w:tc>
        <w:tc>
          <w:tcPr>
            <w:tcW w:type="dxa" w:w="1584"/>
          </w:tcPr>
          <w:p>
            <w:pPr>
              <w:jc w:val="center"/>
            </w:pPr>
            <w:r>
              <w:rPr>
                <w:rFonts w:ascii="Times New Roman" w:hAnsi="Times New Roman"/>
                <w:b/>
                <w:sz w:val="16"/>
              </w:rPr>
              <w:t>Sızıntısız</w:t>
            </w:r>
          </w:p>
        </w:tc>
        <w:tc>
          <w:tcPr>
            <w:tcW w:type="dxa" w:w="1584"/>
          </w:tcPr>
          <w:p>
            <w:pPr>
              <w:jc w:val="center"/>
            </w:pPr>
            <w:r>
              <w:rPr>
                <w:rFonts w:ascii="Times New Roman" w:hAnsi="Times New Roman"/>
                <w:b/>
                <w:sz w:val="16"/>
              </w:rPr>
              <w:t>Naif farkı</w:t>
            </w:r>
          </w:p>
        </w:tc>
        <w:tc>
          <w:tcPr>
            <w:tcW w:type="dxa" w:w="1728"/>
          </w:tcPr>
          <w:p>
            <w:pPr>
              <w:jc w:val="center"/>
            </w:pPr>
            <w:r>
              <w:rPr>
                <w:rFonts w:ascii="Times New Roman" w:hAnsi="Times New Roman"/>
                <w:b/>
                <w:sz w:val="16"/>
              </w:rPr>
              <w:t>Sızıntısız farkı</w:t>
            </w:r>
          </w:p>
        </w:tc>
      </w:tr>
      <w:tr>
        <w:tc>
          <w:tcPr>
            <w:tcW w:type="dxa" w:w="2304"/>
          </w:tcPr>
          <w:p>
            <w:pPr>
              <w:jc w:val="left"/>
            </w:pPr>
            <w:r>
              <w:rPr>
                <w:rFonts w:ascii="Times New Roman" w:hAnsi="Times New Roman"/>
                <w:sz w:val="16"/>
              </w:rPr>
              <w:t>ExtraTrees</w:t>
            </w:r>
          </w:p>
        </w:tc>
        <w:tc>
          <w:tcPr>
            <w:tcW w:type="dxa" w:w="1440"/>
          </w:tcPr>
          <w:p>
            <w:pPr>
              <w:jc w:val="center"/>
            </w:pPr>
            <w:r>
              <w:rPr>
                <w:rFonts w:ascii="Times New Roman" w:hAnsi="Times New Roman"/>
                <w:sz w:val="16"/>
              </w:rPr>
              <w:t>86,19</w:t>
            </w:r>
          </w:p>
        </w:tc>
        <w:tc>
          <w:tcPr>
            <w:tcW w:type="dxa" w:w="1440"/>
          </w:tcPr>
          <w:p>
            <w:pPr>
              <w:jc w:val="center"/>
            </w:pPr>
            <w:r>
              <w:rPr>
                <w:rFonts w:ascii="Times New Roman" w:hAnsi="Times New Roman"/>
                <w:sz w:val="16"/>
              </w:rPr>
              <w:t>93,13</w:t>
            </w:r>
          </w:p>
        </w:tc>
        <w:tc>
          <w:tcPr>
            <w:tcW w:type="dxa" w:w="1584"/>
          </w:tcPr>
          <w:p>
            <w:pPr>
              <w:jc w:val="center"/>
            </w:pPr>
            <w:r>
              <w:rPr>
                <w:rFonts w:ascii="Times New Roman" w:hAnsi="Times New Roman"/>
                <w:sz w:val="16"/>
              </w:rPr>
              <w:t>85,69</w:t>
            </w:r>
          </w:p>
        </w:tc>
        <w:tc>
          <w:tcPr>
            <w:tcW w:type="dxa" w:w="1584"/>
          </w:tcPr>
          <w:p>
            <w:pPr>
              <w:jc w:val="center"/>
            </w:pPr>
            <w:r>
              <w:rPr>
                <w:rFonts w:ascii="Times New Roman" w:hAnsi="Times New Roman"/>
                <w:sz w:val="16"/>
              </w:rPr>
              <w:t>+6,94</w:t>
            </w:r>
          </w:p>
        </w:tc>
        <w:tc>
          <w:tcPr>
            <w:tcW w:type="dxa" w:w="1728"/>
          </w:tcPr>
          <w:p>
            <w:pPr>
              <w:jc w:val="center"/>
            </w:pPr>
            <w:r>
              <w:rPr>
                <w:rFonts w:ascii="Times New Roman" w:hAnsi="Times New Roman"/>
                <w:sz w:val="16"/>
              </w:rPr>
              <w:t>−0,50</w:t>
            </w:r>
          </w:p>
        </w:tc>
      </w:tr>
      <w:tr>
        <w:tc>
          <w:tcPr>
            <w:tcW w:type="dxa" w:w="2304"/>
          </w:tcPr>
          <w:p>
            <w:pPr>
              <w:jc w:val="left"/>
            </w:pPr>
            <w:r>
              <w:rPr>
                <w:rFonts w:ascii="Times New Roman" w:hAnsi="Times New Roman"/>
                <w:sz w:val="16"/>
              </w:rPr>
              <w:t>RandomForest</w:t>
            </w:r>
          </w:p>
        </w:tc>
        <w:tc>
          <w:tcPr>
            <w:tcW w:type="dxa" w:w="1440"/>
          </w:tcPr>
          <w:p>
            <w:pPr>
              <w:jc w:val="center"/>
            </w:pPr>
            <w:r>
              <w:rPr>
                <w:rFonts w:ascii="Times New Roman" w:hAnsi="Times New Roman"/>
                <w:sz w:val="16"/>
              </w:rPr>
              <w:t>85,64</w:t>
            </w:r>
          </w:p>
        </w:tc>
        <w:tc>
          <w:tcPr>
            <w:tcW w:type="dxa" w:w="1440"/>
          </w:tcPr>
          <w:p>
            <w:pPr>
              <w:jc w:val="center"/>
            </w:pPr>
            <w:r>
              <w:rPr>
                <w:rFonts w:ascii="Times New Roman" w:hAnsi="Times New Roman"/>
                <w:sz w:val="16"/>
              </w:rPr>
              <w:t>92,43</w:t>
            </w:r>
          </w:p>
        </w:tc>
        <w:tc>
          <w:tcPr>
            <w:tcW w:type="dxa" w:w="1584"/>
          </w:tcPr>
          <w:p>
            <w:pPr>
              <w:jc w:val="center"/>
            </w:pPr>
            <w:r>
              <w:rPr>
                <w:rFonts w:ascii="Times New Roman" w:hAnsi="Times New Roman"/>
                <w:sz w:val="16"/>
              </w:rPr>
              <w:t>85,88</w:t>
            </w:r>
          </w:p>
        </w:tc>
        <w:tc>
          <w:tcPr>
            <w:tcW w:type="dxa" w:w="1584"/>
          </w:tcPr>
          <w:p>
            <w:pPr>
              <w:jc w:val="center"/>
            </w:pPr>
            <w:r>
              <w:rPr>
                <w:rFonts w:ascii="Times New Roman" w:hAnsi="Times New Roman"/>
                <w:sz w:val="16"/>
              </w:rPr>
              <w:t>+6,79</w:t>
            </w:r>
          </w:p>
        </w:tc>
        <w:tc>
          <w:tcPr>
            <w:tcW w:type="dxa" w:w="1728"/>
          </w:tcPr>
          <w:p>
            <w:pPr>
              <w:jc w:val="center"/>
            </w:pPr>
            <w:r>
              <w:rPr>
                <w:rFonts w:ascii="Times New Roman" w:hAnsi="Times New Roman"/>
                <w:sz w:val="16"/>
              </w:rPr>
              <w:t>+0,24</w:t>
            </w:r>
          </w:p>
        </w:tc>
      </w:tr>
      <w:tr>
        <w:tc>
          <w:tcPr>
            <w:tcW w:type="dxa" w:w="2304"/>
          </w:tcPr>
          <w:p>
            <w:pPr>
              <w:jc w:val="left"/>
            </w:pPr>
            <w:r>
              <w:rPr>
                <w:rFonts w:ascii="Times New Roman" w:hAnsi="Times New Roman"/>
                <w:sz w:val="16"/>
              </w:rPr>
              <w:t>SVC (RBF)</w:t>
            </w:r>
          </w:p>
        </w:tc>
        <w:tc>
          <w:tcPr>
            <w:tcW w:type="dxa" w:w="1440"/>
          </w:tcPr>
          <w:p>
            <w:pPr>
              <w:jc w:val="center"/>
            </w:pPr>
            <w:r>
              <w:rPr>
                <w:rFonts w:ascii="Times New Roman" w:hAnsi="Times New Roman"/>
                <w:sz w:val="16"/>
              </w:rPr>
              <w:t>84,23</w:t>
            </w:r>
          </w:p>
        </w:tc>
        <w:tc>
          <w:tcPr>
            <w:tcW w:type="dxa" w:w="1440"/>
          </w:tcPr>
          <w:p>
            <w:pPr>
              <w:jc w:val="center"/>
            </w:pPr>
            <w:r>
              <w:rPr>
                <w:rFonts w:ascii="Times New Roman" w:hAnsi="Times New Roman"/>
                <w:sz w:val="16"/>
              </w:rPr>
              <w:t>90,64</w:t>
            </w:r>
          </w:p>
        </w:tc>
        <w:tc>
          <w:tcPr>
            <w:tcW w:type="dxa" w:w="1584"/>
          </w:tcPr>
          <w:p>
            <w:pPr>
              <w:jc w:val="center"/>
            </w:pPr>
            <w:r>
              <w:rPr>
                <w:rFonts w:ascii="Times New Roman" w:hAnsi="Times New Roman"/>
                <w:sz w:val="16"/>
              </w:rPr>
              <w:t>83,60</w:t>
            </w:r>
          </w:p>
        </w:tc>
        <w:tc>
          <w:tcPr>
            <w:tcW w:type="dxa" w:w="1584"/>
          </w:tcPr>
          <w:p>
            <w:pPr>
              <w:jc w:val="center"/>
            </w:pPr>
            <w:r>
              <w:rPr>
                <w:rFonts w:ascii="Times New Roman" w:hAnsi="Times New Roman"/>
                <w:sz w:val="16"/>
              </w:rPr>
              <w:t>+6,41</w:t>
            </w:r>
          </w:p>
        </w:tc>
        <w:tc>
          <w:tcPr>
            <w:tcW w:type="dxa" w:w="1728"/>
          </w:tcPr>
          <w:p>
            <w:pPr>
              <w:jc w:val="center"/>
            </w:pPr>
            <w:r>
              <w:rPr>
                <w:rFonts w:ascii="Times New Roman" w:hAnsi="Times New Roman"/>
                <w:sz w:val="16"/>
              </w:rPr>
              <w:t>−0,62</w:t>
            </w:r>
          </w:p>
        </w:tc>
      </w:tr>
      <w:tr>
        <w:tc>
          <w:tcPr>
            <w:tcW w:type="dxa" w:w="2304"/>
          </w:tcPr>
          <w:p>
            <w:pPr>
              <w:jc w:val="left"/>
            </w:pPr>
            <w:r>
              <w:rPr>
                <w:rFonts w:ascii="Times New Roman" w:hAnsi="Times New Roman"/>
                <w:sz w:val="16"/>
              </w:rPr>
              <w:t>XGBoost</w:t>
            </w:r>
          </w:p>
        </w:tc>
        <w:tc>
          <w:tcPr>
            <w:tcW w:type="dxa" w:w="1440"/>
          </w:tcPr>
          <w:p>
            <w:pPr>
              <w:jc w:val="center"/>
            </w:pPr>
            <w:r>
              <w:rPr>
                <w:rFonts w:ascii="Times New Roman" w:hAnsi="Times New Roman"/>
                <w:sz w:val="16"/>
              </w:rPr>
              <w:t>83,79</w:t>
            </w:r>
          </w:p>
        </w:tc>
        <w:tc>
          <w:tcPr>
            <w:tcW w:type="dxa" w:w="1440"/>
          </w:tcPr>
          <w:p>
            <w:pPr>
              <w:jc w:val="center"/>
            </w:pPr>
            <w:r>
              <w:rPr>
                <w:rFonts w:ascii="Times New Roman" w:hAnsi="Times New Roman"/>
                <w:sz w:val="16"/>
              </w:rPr>
              <w:t>92,08</w:t>
            </w:r>
          </w:p>
        </w:tc>
        <w:tc>
          <w:tcPr>
            <w:tcW w:type="dxa" w:w="1584"/>
          </w:tcPr>
          <w:p>
            <w:pPr>
              <w:jc w:val="center"/>
            </w:pPr>
            <w:r>
              <w:rPr>
                <w:rFonts w:ascii="Times New Roman" w:hAnsi="Times New Roman"/>
                <w:sz w:val="16"/>
              </w:rPr>
              <w:t>84,04</w:t>
            </w:r>
          </w:p>
        </w:tc>
        <w:tc>
          <w:tcPr>
            <w:tcW w:type="dxa" w:w="1584"/>
          </w:tcPr>
          <w:p>
            <w:pPr>
              <w:jc w:val="center"/>
            </w:pPr>
            <w:r>
              <w:rPr>
                <w:rFonts w:ascii="Times New Roman" w:hAnsi="Times New Roman"/>
                <w:sz w:val="16"/>
              </w:rPr>
              <w:t>+8,30</w:t>
            </w:r>
          </w:p>
        </w:tc>
        <w:tc>
          <w:tcPr>
            <w:tcW w:type="dxa" w:w="1728"/>
          </w:tcPr>
          <w:p>
            <w:pPr>
              <w:jc w:val="center"/>
            </w:pPr>
            <w:r>
              <w:rPr>
                <w:rFonts w:ascii="Times New Roman" w:hAnsi="Times New Roman"/>
                <w:sz w:val="16"/>
              </w:rPr>
              <w:t>+0,26</w:t>
            </w:r>
          </w:p>
        </w:tc>
      </w:tr>
      <w:tr>
        <w:tc>
          <w:tcPr>
            <w:tcW w:type="dxa" w:w="2304"/>
          </w:tcPr>
          <w:p>
            <w:pPr>
              <w:jc w:val="left"/>
            </w:pPr>
            <w:r>
              <w:rPr>
                <w:rFonts w:ascii="Times New Roman" w:hAnsi="Times New Roman"/>
                <w:sz w:val="16"/>
              </w:rPr>
              <w:t>k-NN</w:t>
            </w:r>
          </w:p>
        </w:tc>
        <w:tc>
          <w:tcPr>
            <w:tcW w:type="dxa" w:w="1440"/>
          </w:tcPr>
          <w:p>
            <w:pPr>
              <w:jc w:val="center"/>
            </w:pPr>
            <w:r>
              <w:rPr>
                <w:rFonts w:ascii="Times New Roman" w:hAnsi="Times New Roman"/>
                <w:sz w:val="16"/>
              </w:rPr>
              <w:t>83,20</w:t>
            </w:r>
          </w:p>
        </w:tc>
        <w:tc>
          <w:tcPr>
            <w:tcW w:type="dxa" w:w="1440"/>
          </w:tcPr>
          <w:p>
            <w:pPr>
              <w:jc w:val="center"/>
            </w:pPr>
            <w:r>
              <w:rPr>
                <w:rFonts w:ascii="Times New Roman" w:hAnsi="Times New Roman"/>
                <w:sz w:val="16"/>
              </w:rPr>
              <w:t>90,39</w:t>
            </w:r>
          </w:p>
        </w:tc>
        <w:tc>
          <w:tcPr>
            <w:tcW w:type="dxa" w:w="1584"/>
          </w:tcPr>
          <w:p>
            <w:pPr>
              <w:jc w:val="center"/>
            </w:pPr>
            <w:r>
              <w:rPr>
                <w:rFonts w:ascii="Times New Roman" w:hAnsi="Times New Roman"/>
                <w:sz w:val="16"/>
              </w:rPr>
              <w:t>83,31</w:t>
            </w:r>
          </w:p>
        </w:tc>
        <w:tc>
          <w:tcPr>
            <w:tcW w:type="dxa" w:w="1584"/>
          </w:tcPr>
          <w:p>
            <w:pPr>
              <w:jc w:val="center"/>
            </w:pPr>
            <w:r>
              <w:rPr>
                <w:rFonts w:ascii="Times New Roman" w:hAnsi="Times New Roman"/>
                <w:sz w:val="16"/>
              </w:rPr>
              <w:t>+7,19</w:t>
            </w:r>
          </w:p>
        </w:tc>
        <w:tc>
          <w:tcPr>
            <w:tcW w:type="dxa" w:w="1728"/>
          </w:tcPr>
          <w:p>
            <w:pPr>
              <w:jc w:val="center"/>
            </w:pPr>
            <w:r>
              <w:rPr>
                <w:rFonts w:ascii="Times New Roman" w:hAnsi="Times New Roman"/>
                <w:sz w:val="16"/>
              </w:rPr>
              <w:t>+0,11</w:t>
            </w:r>
          </w:p>
        </w:tc>
      </w:tr>
      <w:tr>
        <w:tc>
          <w:tcPr>
            <w:tcW w:type="dxa" w:w="2304"/>
          </w:tcPr>
          <w:p>
            <w:pPr>
              <w:jc w:val="left"/>
            </w:pPr>
            <w:r>
              <w:rPr>
                <w:rFonts w:ascii="Times New Roman" w:hAnsi="Times New Roman"/>
                <w:sz w:val="16"/>
              </w:rPr>
              <w:t>Lojistik Reg.</w:t>
            </w:r>
          </w:p>
        </w:tc>
        <w:tc>
          <w:tcPr>
            <w:tcW w:type="dxa" w:w="1440"/>
          </w:tcPr>
          <w:p>
            <w:pPr>
              <w:jc w:val="center"/>
            </w:pPr>
            <w:r>
              <w:rPr>
                <w:rFonts w:ascii="Times New Roman" w:hAnsi="Times New Roman"/>
                <w:sz w:val="16"/>
              </w:rPr>
              <w:t>82,23</w:t>
            </w:r>
          </w:p>
        </w:tc>
        <w:tc>
          <w:tcPr>
            <w:tcW w:type="dxa" w:w="1440"/>
          </w:tcPr>
          <w:p>
            <w:pPr>
              <w:jc w:val="center"/>
            </w:pPr>
            <w:r>
              <w:rPr>
                <w:rFonts w:ascii="Times New Roman" w:hAnsi="Times New Roman"/>
                <w:sz w:val="16"/>
              </w:rPr>
              <w:t>86,86</w:t>
            </w:r>
          </w:p>
        </w:tc>
        <w:tc>
          <w:tcPr>
            <w:tcW w:type="dxa" w:w="1584"/>
          </w:tcPr>
          <w:p>
            <w:pPr>
              <w:jc w:val="center"/>
            </w:pPr>
            <w:r>
              <w:rPr>
                <w:rFonts w:ascii="Times New Roman" w:hAnsi="Times New Roman"/>
                <w:sz w:val="16"/>
              </w:rPr>
              <w:t>81,66</w:t>
            </w:r>
          </w:p>
        </w:tc>
        <w:tc>
          <w:tcPr>
            <w:tcW w:type="dxa" w:w="1584"/>
          </w:tcPr>
          <w:p>
            <w:pPr>
              <w:jc w:val="center"/>
            </w:pPr>
            <w:r>
              <w:rPr>
                <w:rFonts w:ascii="Times New Roman" w:hAnsi="Times New Roman"/>
                <w:sz w:val="16"/>
              </w:rPr>
              <w:t>+4,63</w:t>
            </w:r>
          </w:p>
        </w:tc>
        <w:tc>
          <w:tcPr>
            <w:tcW w:type="dxa" w:w="1728"/>
          </w:tcPr>
          <w:p>
            <w:pPr>
              <w:jc w:val="center"/>
            </w:pPr>
            <w:r>
              <w:rPr>
                <w:rFonts w:ascii="Times New Roman" w:hAnsi="Times New Roman"/>
                <w:sz w:val="16"/>
              </w:rPr>
              <w:t>−0,56</w:t>
            </w:r>
          </w:p>
        </w:tc>
      </w:tr>
      <w:tr>
        <w:tc>
          <w:tcPr>
            <w:tcW w:type="dxa" w:w="2304"/>
          </w:tcPr>
          <w:p>
            <w:pPr>
              <w:jc w:val="left"/>
            </w:pPr>
            <w:r>
              <w:rPr>
                <w:rFonts w:ascii="Times New Roman" w:hAnsi="Times New Roman"/>
                <w:b/>
                <w:sz w:val="16"/>
              </w:rPr>
              <w:t>Ortalama</w:t>
            </w:r>
          </w:p>
        </w:tc>
        <w:tc>
          <w:tcPr>
            <w:tcW w:type="dxa" w:w="1440"/>
          </w:tcPr>
          <w:p>
            <w:pPr>
              <w:jc w:val="center"/>
            </w:pPr>
            <w:r>
              <w:rPr>
                <w:rFonts w:ascii="Times New Roman" w:hAnsi="Times New Roman"/>
                <w:b/>
                <w:sz w:val="16"/>
              </w:rPr>
              <w:t>84,21</w:t>
            </w:r>
          </w:p>
        </w:tc>
        <w:tc>
          <w:tcPr>
            <w:tcW w:type="dxa" w:w="1440"/>
          </w:tcPr>
          <w:p>
            <w:pPr>
              <w:jc w:val="center"/>
            </w:pPr>
            <w:r>
              <w:rPr>
                <w:rFonts w:ascii="Times New Roman" w:hAnsi="Times New Roman"/>
                <w:b/>
                <w:sz w:val="16"/>
              </w:rPr>
              <w:t>90,92</w:t>
            </w:r>
          </w:p>
        </w:tc>
        <w:tc>
          <w:tcPr>
            <w:tcW w:type="dxa" w:w="1584"/>
          </w:tcPr>
          <w:p>
            <w:pPr>
              <w:jc w:val="center"/>
            </w:pPr>
            <w:r>
              <w:rPr>
                <w:rFonts w:ascii="Times New Roman" w:hAnsi="Times New Roman"/>
                <w:b/>
                <w:sz w:val="16"/>
              </w:rPr>
              <w:t>84,03</w:t>
            </w:r>
          </w:p>
        </w:tc>
        <w:tc>
          <w:tcPr>
            <w:tcW w:type="dxa" w:w="1584"/>
          </w:tcPr>
          <w:p>
            <w:pPr>
              <w:jc w:val="center"/>
            </w:pPr>
            <w:r>
              <w:rPr>
                <w:rFonts w:ascii="Times New Roman" w:hAnsi="Times New Roman"/>
                <w:b/>
                <w:sz w:val="16"/>
              </w:rPr>
              <w:t>+6,71</w:t>
            </w:r>
          </w:p>
        </w:tc>
        <w:tc>
          <w:tcPr>
            <w:tcW w:type="dxa" w:w="1728"/>
          </w:tcPr>
          <w:p>
            <w:pPr>
              <w:jc w:val="center"/>
            </w:pPr>
            <w:r>
              <w:rPr>
                <w:rFonts w:ascii="Times New Roman" w:hAnsi="Times New Roman"/>
                <w:b/>
                <w:sz w:val="16"/>
              </w:rPr>
              <w:t>−0,18</w:t>
            </w:r>
          </w:p>
        </w:tc>
      </w:tr>
    </w:tbl>
    <w:p>
      <w:pPr>
        <w:spacing w:after="40"/>
      </w:pPr>
    </w:p>
    <w:p>
      <w:pPr>
        <w:spacing w:before="120" w:after="40"/>
        <w:jc w:val="center"/>
      </w:pPr>
      <w:r>
        <w:rPr>
          <w:rFonts w:ascii="Times New Roman" w:hAnsi="Times New Roman"/>
          <w:b/>
          <w:sz w:val="17"/>
        </w:rPr>
        <w:t>TABLO III. Veri Kümesi Bazında, Düz Doğruluk (%)</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2160"/>
          </w:tcPr>
          <w:p>
            <w:pPr>
              <w:jc w:val="center"/>
            </w:pPr>
            <w:r>
              <w:rPr>
                <w:rFonts w:ascii="Times New Roman" w:hAnsi="Times New Roman"/>
                <w:b/>
                <w:sz w:val="16"/>
              </w:rPr>
              <w:t>Veri kümesi</w:t>
            </w:r>
          </w:p>
        </w:tc>
        <w:tc>
          <w:tcPr>
            <w:tcW w:type="dxa" w:w="1512"/>
          </w:tcPr>
          <w:p>
            <w:pPr>
              <w:jc w:val="center"/>
            </w:pPr>
            <w:r>
              <w:rPr>
                <w:rFonts w:ascii="Times New Roman" w:hAnsi="Times New Roman"/>
                <w:b/>
                <w:sz w:val="16"/>
              </w:rPr>
              <w:t>Orijinal</w:t>
            </w:r>
          </w:p>
        </w:tc>
        <w:tc>
          <w:tcPr>
            <w:tcW w:type="dxa" w:w="1512"/>
          </w:tcPr>
          <w:p>
            <w:pPr>
              <w:jc w:val="center"/>
            </w:pPr>
            <w:r>
              <w:rPr>
                <w:rFonts w:ascii="Times New Roman" w:hAnsi="Times New Roman"/>
                <w:b/>
                <w:sz w:val="16"/>
              </w:rPr>
              <w:t>Naif</w:t>
            </w:r>
          </w:p>
        </w:tc>
        <w:tc>
          <w:tcPr>
            <w:tcW w:type="dxa" w:w="1584"/>
          </w:tcPr>
          <w:p>
            <w:pPr>
              <w:jc w:val="center"/>
            </w:pPr>
            <w:r>
              <w:rPr>
                <w:rFonts w:ascii="Times New Roman" w:hAnsi="Times New Roman"/>
                <w:b/>
                <w:sz w:val="16"/>
              </w:rPr>
              <w:t>Sızıntısız</w:t>
            </w:r>
          </w:p>
        </w:tc>
        <w:tc>
          <w:tcPr>
            <w:tcW w:type="dxa" w:w="1584"/>
          </w:tcPr>
          <w:p>
            <w:pPr>
              <w:jc w:val="center"/>
            </w:pPr>
            <w:r>
              <w:rPr>
                <w:rFonts w:ascii="Times New Roman" w:hAnsi="Times New Roman"/>
                <w:b/>
                <w:sz w:val="16"/>
              </w:rPr>
              <w:t>Naif farkı</w:t>
            </w:r>
          </w:p>
        </w:tc>
        <w:tc>
          <w:tcPr>
            <w:tcW w:type="dxa" w:w="1728"/>
          </w:tcPr>
          <w:p>
            <w:pPr>
              <w:jc w:val="center"/>
            </w:pPr>
            <w:r>
              <w:rPr>
                <w:rFonts w:ascii="Times New Roman" w:hAnsi="Times New Roman"/>
                <w:b/>
                <w:sz w:val="16"/>
              </w:rPr>
              <w:t>Sızıntısız farkı</w:t>
            </w:r>
          </w:p>
        </w:tc>
      </w:tr>
      <w:tr>
        <w:tc>
          <w:tcPr>
            <w:tcW w:type="dxa" w:w="2160"/>
          </w:tcPr>
          <w:p>
            <w:pPr>
              <w:jc w:val="left"/>
            </w:pPr>
            <w:r>
              <w:rPr>
                <w:rFonts w:ascii="Times New Roman" w:hAnsi="Times New Roman"/>
                <w:sz w:val="16"/>
              </w:rPr>
              <w:t>Pelvic</w:t>
            </w:r>
          </w:p>
        </w:tc>
        <w:tc>
          <w:tcPr>
            <w:tcW w:type="dxa" w:w="1512"/>
          </w:tcPr>
          <w:p>
            <w:pPr>
              <w:jc w:val="center"/>
            </w:pPr>
            <w:r>
              <w:rPr>
                <w:rFonts w:ascii="Times New Roman" w:hAnsi="Times New Roman"/>
                <w:sz w:val="16"/>
              </w:rPr>
              <w:t>81,96</w:t>
            </w:r>
          </w:p>
        </w:tc>
        <w:tc>
          <w:tcPr>
            <w:tcW w:type="dxa" w:w="1512"/>
          </w:tcPr>
          <w:p>
            <w:pPr>
              <w:jc w:val="center"/>
            </w:pPr>
            <w:r>
              <w:rPr>
                <w:rFonts w:ascii="Times New Roman" w:hAnsi="Times New Roman"/>
                <w:sz w:val="16"/>
              </w:rPr>
              <w:t>90,59</w:t>
            </w:r>
          </w:p>
        </w:tc>
        <w:tc>
          <w:tcPr>
            <w:tcW w:type="dxa" w:w="1584"/>
          </w:tcPr>
          <w:p>
            <w:pPr>
              <w:jc w:val="center"/>
            </w:pPr>
            <w:r>
              <w:rPr>
                <w:rFonts w:ascii="Times New Roman" w:hAnsi="Times New Roman"/>
                <w:sz w:val="16"/>
              </w:rPr>
              <w:t>82,18</w:t>
            </w:r>
          </w:p>
        </w:tc>
        <w:tc>
          <w:tcPr>
            <w:tcW w:type="dxa" w:w="1584"/>
          </w:tcPr>
          <w:p>
            <w:pPr>
              <w:jc w:val="center"/>
            </w:pPr>
            <w:r>
              <w:rPr>
                <w:rFonts w:ascii="Times New Roman" w:hAnsi="Times New Roman"/>
                <w:sz w:val="16"/>
              </w:rPr>
              <w:t>+8,63</w:t>
            </w:r>
          </w:p>
        </w:tc>
        <w:tc>
          <w:tcPr>
            <w:tcW w:type="dxa" w:w="1728"/>
          </w:tcPr>
          <w:p>
            <w:pPr>
              <w:jc w:val="center"/>
            </w:pPr>
            <w:r>
              <w:rPr>
                <w:rFonts w:ascii="Times New Roman" w:hAnsi="Times New Roman"/>
                <w:sz w:val="16"/>
              </w:rPr>
              <w:t>+0,22</w:t>
            </w:r>
          </w:p>
        </w:tc>
      </w:tr>
      <w:tr>
        <w:tc>
          <w:tcPr>
            <w:tcW w:type="dxa" w:w="2160"/>
          </w:tcPr>
          <w:p>
            <w:pPr>
              <w:jc w:val="left"/>
            </w:pPr>
            <w:r>
              <w:rPr>
                <w:rFonts w:ascii="Times New Roman" w:hAnsi="Times New Roman"/>
                <w:sz w:val="16"/>
              </w:rPr>
              <w:t>Hepatitis</w:t>
            </w:r>
          </w:p>
        </w:tc>
        <w:tc>
          <w:tcPr>
            <w:tcW w:type="dxa" w:w="1512"/>
          </w:tcPr>
          <w:p>
            <w:pPr>
              <w:jc w:val="center"/>
            </w:pPr>
            <w:r>
              <w:rPr>
                <w:rFonts w:ascii="Times New Roman" w:hAnsi="Times New Roman"/>
                <w:sz w:val="16"/>
              </w:rPr>
              <w:t>83,76</w:t>
            </w:r>
          </w:p>
        </w:tc>
        <w:tc>
          <w:tcPr>
            <w:tcW w:type="dxa" w:w="1512"/>
          </w:tcPr>
          <w:p>
            <w:pPr>
              <w:jc w:val="center"/>
            </w:pPr>
            <w:r>
              <w:rPr>
                <w:rFonts w:ascii="Times New Roman" w:hAnsi="Times New Roman"/>
                <w:sz w:val="16"/>
              </w:rPr>
              <w:t>89,42</w:t>
            </w:r>
          </w:p>
        </w:tc>
        <w:tc>
          <w:tcPr>
            <w:tcW w:type="dxa" w:w="1584"/>
          </w:tcPr>
          <w:p>
            <w:pPr>
              <w:jc w:val="center"/>
            </w:pPr>
            <w:r>
              <w:rPr>
                <w:rFonts w:ascii="Times New Roman" w:hAnsi="Times New Roman"/>
                <w:sz w:val="16"/>
              </w:rPr>
              <w:t>83,98</w:t>
            </w:r>
          </w:p>
        </w:tc>
        <w:tc>
          <w:tcPr>
            <w:tcW w:type="dxa" w:w="1584"/>
          </w:tcPr>
          <w:p>
            <w:pPr>
              <w:jc w:val="center"/>
            </w:pPr>
            <w:r>
              <w:rPr>
                <w:rFonts w:ascii="Times New Roman" w:hAnsi="Times New Roman"/>
                <w:sz w:val="16"/>
              </w:rPr>
              <w:t>+5,65</w:t>
            </w:r>
          </w:p>
        </w:tc>
        <w:tc>
          <w:tcPr>
            <w:tcW w:type="dxa" w:w="1728"/>
          </w:tcPr>
          <w:p>
            <w:pPr>
              <w:jc w:val="center"/>
            </w:pPr>
            <w:r>
              <w:rPr>
                <w:rFonts w:ascii="Times New Roman" w:hAnsi="Times New Roman"/>
                <w:sz w:val="16"/>
              </w:rPr>
              <w:t>+0,22</w:t>
            </w:r>
          </w:p>
        </w:tc>
      </w:tr>
      <w:tr>
        <w:tc>
          <w:tcPr>
            <w:tcW w:type="dxa" w:w="2160"/>
          </w:tcPr>
          <w:p>
            <w:pPr>
              <w:jc w:val="left"/>
            </w:pPr>
            <w:r>
              <w:rPr>
                <w:rFonts w:ascii="Times New Roman" w:hAnsi="Times New Roman"/>
                <w:sz w:val="16"/>
              </w:rPr>
              <w:t>Parkinson's</w:t>
            </w:r>
          </w:p>
        </w:tc>
        <w:tc>
          <w:tcPr>
            <w:tcW w:type="dxa" w:w="1512"/>
          </w:tcPr>
          <w:p>
            <w:pPr>
              <w:jc w:val="center"/>
            </w:pPr>
            <w:r>
              <w:rPr>
                <w:rFonts w:ascii="Times New Roman" w:hAnsi="Times New Roman"/>
                <w:sz w:val="16"/>
              </w:rPr>
              <w:t>89,49</w:t>
            </w:r>
          </w:p>
        </w:tc>
        <w:tc>
          <w:tcPr>
            <w:tcW w:type="dxa" w:w="1512"/>
          </w:tcPr>
          <w:p>
            <w:pPr>
              <w:jc w:val="center"/>
            </w:pPr>
            <w:r>
              <w:rPr>
                <w:rFonts w:ascii="Times New Roman" w:hAnsi="Times New Roman"/>
                <w:sz w:val="16"/>
              </w:rPr>
              <w:t>92,52</w:t>
            </w:r>
          </w:p>
        </w:tc>
        <w:tc>
          <w:tcPr>
            <w:tcW w:type="dxa" w:w="1584"/>
          </w:tcPr>
          <w:p>
            <w:pPr>
              <w:jc w:val="center"/>
            </w:pPr>
            <w:r>
              <w:rPr>
                <w:rFonts w:ascii="Times New Roman" w:hAnsi="Times New Roman"/>
                <w:sz w:val="16"/>
              </w:rPr>
              <w:t>87,65</w:t>
            </w:r>
          </w:p>
        </w:tc>
        <w:tc>
          <w:tcPr>
            <w:tcW w:type="dxa" w:w="1584"/>
          </w:tcPr>
          <w:p>
            <w:pPr>
              <w:jc w:val="center"/>
            </w:pPr>
            <w:r>
              <w:rPr>
                <w:rFonts w:ascii="Times New Roman" w:hAnsi="Times New Roman"/>
                <w:sz w:val="16"/>
              </w:rPr>
              <w:t>+3,03</w:t>
            </w:r>
          </w:p>
        </w:tc>
        <w:tc>
          <w:tcPr>
            <w:tcW w:type="dxa" w:w="1728"/>
          </w:tcPr>
          <w:p>
            <w:pPr>
              <w:jc w:val="center"/>
            </w:pPr>
            <w:r>
              <w:rPr>
                <w:rFonts w:ascii="Times New Roman" w:hAnsi="Times New Roman"/>
                <w:sz w:val="16"/>
              </w:rPr>
              <w:t>−1,84</w:t>
            </w:r>
          </w:p>
        </w:tc>
      </w:tr>
      <w:tr>
        <w:tc>
          <w:tcPr>
            <w:tcW w:type="dxa" w:w="2160"/>
          </w:tcPr>
          <w:p>
            <w:pPr>
              <w:jc w:val="left"/>
            </w:pPr>
            <w:r>
              <w:rPr>
                <w:rFonts w:ascii="Times New Roman" w:hAnsi="Times New Roman"/>
                <w:sz w:val="16"/>
              </w:rPr>
              <w:t>Heart Disease</w:t>
            </w:r>
          </w:p>
        </w:tc>
        <w:tc>
          <w:tcPr>
            <w:tcW w:type="dxa" w:w="1512"/>
          </w:tcPr>
          <w:p>
            <w:pPr>
              <w:jc w:val="center"/>
            </w:pPr>
            <w:r>
              <w:rPr>
                <w:rFonts w:ascii="Times New Roman" w:hAnsi="Times New Roman"/>
                <w:sz w:val="16"/>
              </w:rPr>
              <w:t>81,67</w:t>
            </w:r>
          </w:p>
        </w:tc>
        <w:tc>
          <w:tcPr>
            <w:tcW w:type="dxa" w:w="1512"/>
          </w:tcPr>
          <w:p>
            <w:pPr>
              <w:jc w:val="center"/>
            </w:pPr>
            <w:r>
              <w:rPr>
                <w:rFonts w:ascii="Times New Roman" w:hAnsi="Times New Roman"/>
                <w:sz w:val="16"/>
              </w:rPr>
              <w:t>86,46</w:t>
            </w:r>
          </w:p>
        </w:tc>
        <w:tc>
          <w:tcPr>
            <w:tcW w:type="dxa" w:w="1584"/>
          </w:tcPr>
          <w:p>
            <w:pPr>
              <w:jc w:val="center"/>
            </w:pPr>
            <w:r>
              <w:rPr>
                <w:rFonts w:ascii="Times New Roman" w:hAnsi="Times New Roman"/>
                <w:sz w:val="16"/>
              </w:rPr>
              <w:t>82,24</w:t>
            </w:r>
          </w:p>
        </w:tc>
        <w:tc>
          <w:tcPr>
            <w:tcW w:type="dxa" w:w="1584"/>
          </w:tcPr>
          <w:p>
            <w:pPr>
              <w:jc w:val="center"/>
            </w:pPr>
            <w:r>
              <w:rPr>
                <w:rFonts w:ascii="Times New Roman" w:hAnsi="Times New Roman"/>
                <w:sz w:val="16"/>
              </w:rPr>
              <w:t>+4,79</w:t>
            </w:r>
          </w:p>
        </w:tc>
        <w:tc>
          <w:tcPr>
            <w:tcW w:type="dxa" w:w="1728"/>
          </w:tcPr>
          <w:p>
            <w:pPr>
              <w:jc w:val="center"/>
            </w:pPr>
            <w:r>
              <w:rPr>
                <w:rFonts w:ascii="Times New Roman" w:hAnsi="Times New Roman"/>
                <w:sz w:val="16"/>
              </w:rPr>
              <w:t>+0,58</w:t>
            </w:r>
          </w:p>
        </w:tc>
      </w:tr>
      <w:tr>
        <w:tc>
          <w:tcPr>
            <w:tcW w:type="dxa" w:w="2160"/>
          </w:tcPr>
          <w:p>
            <w:pPr>
              <w:jc w:val="left"/>
            </w:pPr>
            <w:r>
              <w:rPr>
                <w:rFonts w:ascii="Times New Roman" w:hAnsi="Times New Roman"/>
                <w:sz w:val="16"/>
              </w:rPr>
              <w:t>Pima Diabetes</w:t>
            </w:r>
          </w:p>
        </w:tc>
        <w:tc>
          <w:tcPr>
            <w:tcW w:type="dxa" w:w="1512"/>
          </w:tcPr>
          <w:p>
            <w:pPr>
              <w:jc w:val="center"/>
            </w:pPr>
            <w:r>
              <w:rPr>
                <w:rFonts w:ascii="Times New Roman" w:hAnsi="Times New Roman"/>
                <w:sz w:val="16"/>
              </w:rPr>
              <w:t>75,68</w:t>
            </w:r>
          </w:p>
        </w:tc>
        <w:tc>
          <w:tcPr>
            <w:tcW w:type="dxa" w:w="1512"/>
          </w:tcPr>
          <w:p>
            <w:pPr>
              <w:jc w:val="center"/>
            </w:pPr>
            <w:r>
              <w:rPr>
                <w:rFonts w:ascii="Times New Roman" w:hAnsi="Times New Roman"/>
                <w:sz w:val="16"/>
              </w:rPr>
              <w:t>88,16</w:t>
            </w:r>
          </w:p>
        </w:tc>
        <w:tc>
          <w:tcPr>
            <w:tcW w:type="dxa" w:w="1584"/>
          </w:tcPr>
          <w:p>
            <w:pPr>
              <w:jc w:val="center"/>
            </w:pPr>
            <w:r>
              <w:rPr>
                <w:rFonts w:ascii="Times New Roman" w:hAnsi="Times New Roman"/>
                <w:sz w:val="16"/>
              </w:rPr>
              <w:t>74,57</w:t>
            </w:r>
          </w:p>
        </w:tc>
        <w:tc>
          <w:tcPr>
            <w:tcW w:type="dxa" w:w="1584"/>
          </w:tcPr>
          <w:p>
            <w:pPr>
              <w:jc w:val="center"/>
            </w:pPr>
            <w:r>
              <w:rPr>
                <w:rFonts w:ascii="Times New Roman" w:hAnsi="Times New Roman"/>
                <w:sz w:val="16"/>
              </w:rPr>
              <w:t>+12,48</w:t>
            </w:r>
          </w:p>
        </w:tc>
        <w:tc>
          <w:tcPr>
            <w:tcW w:type="dxa" w:w="1728"/>
          </w:tcPr>
          <w:p>
            <w:pPr>
              <w:jc w:val="center"/>
            </w:pPr>
            <w:r>
              <w:rPr>
                <w:rFonts w:ascii="Times New Roman" w:hAnsi="Times New Roman"/>
                <w:sz w:val="16"/>
              </w:rPr>
              <w:t>−1,11</w:t>
            </w:r>
          </w:p>
        </w:tc>
      </w:tr>
      <w:tr>
        <w:tc>
          <w:tcPr>
            <w:tcW w:type="dxa" w:w="2160"/>
          </w:tcPr>
          <w:p>
            <w:pPr>
              <w:jc w:val="left"/>
            </w:pPr>
            <w:r>
              <w:rPr>
                <w:rFonts w:ascii="Times New Roman" w:hAnsi="Times New Roman"/>
                <w:sz w:val="16"/>
              </w:rPr>
              <w:t>Glass</w:t>
            </w:r>
          </w:p>
        </w:tc>
        <w:tc>
          <w:tcPr>
            <w:tcW w:type="dxa" w:w="1512"/>
          </w:tcPr>
          <w:p>
            <w:pPr>
              <w:jc w:val="center"/>
            </w:pPr>
            <w:r>
              <w:rPr>
                <w:rFonts w:ascii="Times New Roman" w:hAnsi="Times New Roman"/>
                <w:sz w:val="16"/>
              </w:rPr>
              <w:t>93,46</w:t>
            </w:r>
          </w:p>
        </w:tc>
        <w:tc>
          <w:tcPr>
            <w:tcW w:type="dxa" w:w="1512"/>
          </w:tcPr>
          <w:p>
            <w:pPr>
              <w:jc w:val="center"/>
            </w:pPr>
            <w:r>
              <w:rPr>
                <w:rFonts w:ascii="Times New Roman" w:hAnsi="Times New Roman"/>
                <w:sz w:val="16"/>
              </w:rPr>
              <w:t>97,11</w:t>
            </w:r>
          </w:p>
        </w:tc>
        <w:tc>
          <w:tcPr>
            <w:tcW w:type="dxa" w:w="1584"/>
          </w:tcPr>
          <w:p>
            <w:pPr>
              <w:jc w:val="center"/>
            </w:pPr>
            <w:r>
              <w:rPr>
                <w:rFonts w:ascii="Times New Roman" w:hAnsi="Times New Roman"/>
                <w:sz w:val="16"/>
              </w:rPr>
              <w:t>93,97</w:t>
            </w:r>
          </w:p>
        </w:tc>
        <w:tc>
          <w:tcPr>
            <w:tcW w:type="dxa" w:w="1584"/>
          </w:tcPr>
          <w:p>
            <w:pPr>
              <w:jc w:val="center"/>
            </w:pPr>
            <w:r>
              <w:rPr>
                <w:rFonts w:ascii="Times New Roman" w:hAnsi="Times New Roman"/>
                <w:sz w:val="16"/>
              </w:rPr>
              <w:t>+3,65</w:t>
            </w:r>
          </w:p>
        </w:tc>
        <w:tc>
          <w:tcPr>
            <w:tcW w:type="dxa" w:w="1728"/>
          </w:tcPr>
          <w:p>
            <w:pPr>
              <w:jc w:val="center"/>
            </w:pPr>
            <w:r>
              <w:rPr>
                <w:rFonts w:ascii="Times New Roman" w:hAnsi="Times New Roman"/>
                <w:sz w:val="16"/>
              </w:rPr>
              <w:t>+0,51</w:t>
            </w:r>
          </w:p>
        </w:tc>
      </w:tr>
      <w:tr>
        <w:tc>
          <w:tcPr>
            <w:tcW w:type="dxa" w:w="2160"/>
          </w:tcPr>
          <w:p>
            <w:pPr>
              <w:jc w:val="left"/>
            </w:pPr>
            <w:r>
              <w:rPr>
                <w:rFonts w:ascii="Times New Roman" w:hAnsi="Times New Roman"/>
                <w:sz w:val="16"/>
              </w:rPr>
              <w:t>Sonar</w:t>
            </w:r>
          </w:p>
        </w:tc>
        <w:tc>
          <w:tcPr>
            <w:tcW w:type="dxa" w:w="1512"/>
          </w:tcPr>
          <w:p>
            <w:pPr>
              <w:jc w:val="center"/>
            </w:pPr>
            <w:r>
              <w:rPr>
                <w:rFonts w:ascii="Times New Roman" w:hAnsi="Times New Roman"/>
                <w:sz w:val="16"/>
              </w:rPr>
              <w:t>83,47</w:t>
            </w:r>
          </w:p>
        </w:tc>
        <w:tc>
          <w:tcPr>
            <w:tcW w:type="dxa" w:w="1512"/>
          </w:tcPr>
          <w:p>
            <w:pPr>
              <w:jc w:val="center"/>
            </w:pPr>
            <w:r>
              <w:rPr>
                <w:rFonts w:ascii="Times New Roman" w:hAnsi="Times New Roman"/>
                <w:sz w:val="16"/>
              </w:rPr>
              <w:t>92,19</w:t>
            </w:r>
          </w:p>
        </w:tc>
        <w:tc>
          <w:tcPr>
            <w:tcW w:type="dxa" w:w="1584"/>
          </w:tcPr>
          <w:p>
            <w:pPr>
              <w:jc w:val="center"/>
            </w:pPr>
            <w:r>
              <w:rPr>
                <w:rFonts w:ascii="Times New Roman" w:hAnsi="Times New Roman"/>
                <w:sz w:val="16"/>
              </w:rPr>
              <w:t>83,63</w:t>
            </w:r>
          </w:p>
        </w:tc>
        <w:tc>
          <w:tcPr>
            <w:tcW w:type="dxa" w:w="1584"/>
          </w:tcPr>
          <w:p>
            <w:pPr>
              <w:jc w:val="center"/>
            </w:pPr>
            <w:r>
              <w:rPr>
                <w:rFonts w:ascii="Times New Roman" w:hAnsi="Times New Roman"/>
                <w:sz w:val="16"/>
              </w:rPr>
              <w:t>+8,72</w:t>
            </w:r>
          </w:p>
        </w:tc>
        <w:tc>
          <w:tcPr>
            <w:tcW w:type="dxa" w:w="1728"/>
          </w:tcPr>
          <w:p>
            <w:pPr>
              <w:jc w:val="center"/>
            </w:pPr>
            <w:r>
              <w:rPr>
                <w:rFonts w:ascii="Times New Roman" w:hAnsi="Times New Roman"/>
                <w:sz w:val="16"/>
              </w:rPr>
              <w:t>+0,17</w:t>
            </w:r>
          </w:p>
        </w:tc>
      </w:tr>
    </w:tbl>
    <w:p>
      <w:pPr>
        <w:spacing w:after="40"/>
      </w:pPr>
    </w:p>
    <w:p>
      <w:pPr>
        <w:spacing w:before="120" w:after="40"/>
        <w:jc w:val="center"/>
      </w:pPr>
      <w:r>
        <w:rPr>
          <w:rFonts w:ascii="Times New Roman" w:hAnsi="Times New Roman"/>
          <w:b/>
          <w:sz w:val="17"/>
        </w:rPr>
        <w:t>TABLO IV. Sızıntıya Kapalı Kazanç — Temel Durum → Hibrit Artırma (6 çekirdek sınıflandırıcı, %)</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3312"/>
          </w:tcPr>
          <w:p>
            <w:pPr>
              <w:jc w:val="center"/>
            </w:pPr>
            <w:r>
              <w:rPr>
                <w:rFonts w:ascii="Times New Roman" w:hAnsi="Times New Roman"/>
                <w:b/>
                <w:sz w:val="16"/>
              </w:rPr>
              <w:t>Ölçüt</w:t>
            </w:r>
          </w:p>
        </w:tc>
        <w:tc>
          <w:tcPr>
            <w:tcW w:type="dxa" w:w="2304"/>
          </w:tcPr>
          <w:p>
            <w:pPr>
              <w:jc w:val="center"/>
            </w:pPr>
            <w:r>
              <w:rPr>
                <w:rFonts w:ascii="Times New Roman" w:hAnsi="Times New Roman"/>
                <w:b/>
                <w:sz w:val="16"/>
              </w:rPr>
              <w:t>Temel durum</w:t>
            </w:r>
          </w:p>
        </w:tc>
        <w:tc>
          <w:tcPr>
            <w:tcW w:type="dxa" w:w="2304"/>
          </w:tcPr>
          <w:p>
            <w:pPr>
              <w:jc w:val="center"/>
            </w:pPr>
            <w:r>
              <w:rPr>
                <w:rFonts w:ascii="Times New Roman" w:hAnsi="Times New Roman"/>
                <w:b/>
                <w:sz w:val="16"/>
              </w:rPr>
              <w:t>Hibrit artırma</w:t>
            </w:r>
          </w:p>
        </w:tc>
        <w:tc>
          <w:tcPr>
            <w:tcW w:type="dxa" w:w="2160"/>
          </w:tcPr>
          <w:p>
            <w:pPr>
              <w:jc w:val="center"/>
            </w:pPr>
            <w:r>
              <w:rPr>
                <w:rFonts w:ascii="Times New Roman" w:hAnsi="Times New Roman"/>
                <w:b/>
                <w:sz w:val="16"/>
              </w:rPr>
              <w:t>Δ (yüzde puan)</w:t>
            </w:r>
          </w:p>
        </w:tc>
      </w:tr>
      <w:tr>
        <w:tc>
          <w:tcPr>
            <w:tcW w:type="dxa" w:w="3312"/>
          </w:tcPr>
          <w:p>
            <w:pPr>
              <w:jc w:val="left"/>
            </w:pPr>
            <w:r>
              <w:rPr>
                <w:rFonts w:ascii="Times New Roman" w:hAnsi="Times New Roman"/>
                <w:sz w:val="16"/>
              </w:rPr>
              <w:t>Dengeli doğruluk</w:t>
            </w:r>
          </w:p>
        </w:tc>
        <w:tc>
          <w:tcPr>
            <w:tcW w:type="dxa" w:w="2304"/>
          </w:tcPr>
          <w:p>
            <w:pPr>
              <w:jc w:val="center"/>
            </w:pPr>
            <w:r>
              <w:rPr>
                <w:rFonts w:ascii="Times New Roman" w:hAnsi="Times New Roman"/>
                <w:sz w:val="16"/>
              </w:rPr>
              <w:t>79,62</w:t>
            </w:r>
          </w:p>
        </w:tc>
        <w:tc>
          <w:tcPr>
            <w:tcW w:type="dxa" w:w="2304"/>
          </w:tcPr>
          <w:p>
            <w:pPr>
              <w:jc w:val="center"/>
            </w:pPr>
            <w:r>
              <w:rPr>
                <w:rFonts w:ascii="Times New Roman" w:hAnsi="Times New Roman"/>
                <w:sz w:val="16"/>
              </w:rPr>
              <w:t>82,11</w:t>
            </w:r>
          </w:p>
        </w:tc>
        <w:tc>
          <w:tcPr>
            <w:tcW w:type="dxa" w:w="2160"/>
          </w:tcPr>
          <w:p>
            <w:pPr>
              <w:jc w:val="center"/>
            </w:pPr>
            <w:r>
              <w:rPr>
                <w:rFonts w:ascii="Times New Roman" w:hAnsi="Times New Roman"/>
                <w:sz w:val="16"/>
              </w:rPr>
              <w:t>+2,49</w:t>
            </w:r>
          </w:p>
        </w:tc>
      </w:tr>
      <w:tr>
        <w:tc>
          <w:tcPr>
            <w:tcW w:type="dxa" w:w="3312"/>
          </w:tcPr>
          <w:p>
            <w:pPr>
              <w:jc w:val="left"/>
            </w:pPr>
            <w:r>
              <w:rPr>
                <w:rFonts w:ascii="Times New Roman" w:hAnsi="Times New Roman"/>
                <w:sz w:val="16"/>
              </w:rPr>
              <w:t>Makro-F1</w:t>
            </w:r>
          </w:p>
        </w:tc>
        <w:tc>
          <w:tcPr>
            <w:tcW w:type="dxa" w:w="2304"/>
          </w:tcPr>
          <w:p>
            <w:pPr>
              <w:jc w:val="center"/>
            </w:pPr>
            <w:r>
              <w:rPr>
                <w:rFonts w:ascii="Times New Roman" w:hAnsi="Times New Roman"/>
                <w:sz w:val="16"/>
              </w:rPr>
              <w:t>80,35</w:t>
            </w:r>
          </w:p>
        </w:tc>
        <w:tc>
          <w:tcPr>
            <w:tcW w:type="dxa" w:w="2304"/>
          </w:tcPr>
          <w:p>
            <w:pPr>
              <w:jc w:val="center"/>
            </w:pPr>
            <w:r>
              <w:rPr>
                <w:rFonts w:ascii="Times New Roman" w:hAnsi="Times New Roman"/>
                <w:sz w:val="16"/>
              </w:rPr>
              <w:t>81,47</w:t>
            </w:r>
          </w:p>
        </w:tc>
        <w:tc>
          <w:tcPr>
            <w:tcW w:type="dxa" w:w="2160"/>
          </w:tcPr>
          <w:p>
            <w:pPr>
              <w:jc w:val="center"/>
            </w:pPr>
            <w:r>
              <w:rPr>
                <w:rFonts w:ascii="Times New Roman" w:hAnsi="Times New Roman"/>
                <w:sz w:val="16"/>
              </w:rPr>
              <w:t>+1,11</w:t>
            </w:r>
          </w:p>
        </w:tc>
      </w:tr>
      <w:tr>
        <w:tc>
          <w:tcPr>
            <w:tcW w:type="dxa" w:w="3312"/>
          </w:tcPr>
          <w:p>
            <w:pPr>
              <w:jc w:val="left"/>
            </w:pPr>
            <w:r>
              <w:rPr>
                <w:rFonts w:ascii="Times New Roman" w:hAnsi="Times New Roman"/>
                <w:sz w:val="16"/>
              </w:rPr>
              <w:t>Düz doğruluk</w:t>
            </w:r>
          </w:p>
        </w:tc>
        <w:tc>
          <w:tcPr>
            <w:tcW w:type="dxa" w:w="2304"/>
          </w:tcPr>
          <w:p>
            <w:pPr>
              <w:jc w:val="center"/>
            </w:pPr>
            <w:r>
              <w:rPr>
                <w:rFonts w:ascii="Times New Roman" w:hAnsi="Times New Roman"/>
                <w:sz w:val="16"/>
              </w:rPr>
              <w:t>84,21</w:t>
            </w:r>
          </w:p>
        </w:tc>
        <w:tc>
          <w:tcPr>
            <w:tcW w:type="dxa" w:w="2304"/>
          </w:tcPr>
          <w:p>
            <w:pPr>
              <w:jc w:val="center"/>
            </w:pPr>
            <w:r>
              <w:rPr>
                <w:rFonts w:ascii="Times New Roman" w:hAnsi="Times New Roman"/>
                <w:sz w:val="16"/>
              </w:rPr>
              <w:t>84,03</w:t>
            </w:r>
          </w:p>
        </w:tc>
        <w:tc>
          <w:tcPr>
            <w:tcW w:type="dxa" w:w="2160"/>
          </w:tcPr>
          <w:p>
            <w:pPr>
              <w:jc w:val="center"/>
            </w:pPr>
            <w:r>
              <w:rPr>
                <w:rFonts w:ascii="Times New Roman" w:hAnsi="Times New Roman"/>
                <w:sz w:val="16"/>
              </w:rPr>
              <w:t>−0,18</w:t>
            </w:r>
          </w:p>
        </w:tc>
      </w:tr>
    </w:tbl>
    <w:p>
      <w:pPr>
        <w:spacing w:after="40"/>
      </w:pPr>
    </w:p>
    <w:p>
      <w:pPr>
        <w:sectPr>
          <w:type w:val="continuous"/>
          <w:pgSz w:w="12240" w:h="15840"/>
          <w:pgMar w:top="1080" w:right="936" w:bottom="1080" w:left="936" w:header="720" w:footer="720" w:gutter="0"/>
          <w:cols w:space="360" w:num="1"/>
          <w:docGrid w:linePitch="360"/>
        </w:sectPr>
      </w:pPr>
    </w:p>
    <w:p>
      <w:pPr>
        <w:spacing w:before="160" w:after="60"/>
        <w:jc w:val="center"/>
      </w:pPr>
      <w:r>
        <w:rPr>
          <w:rFonts w:ascii="Times New Roman" w:hAnsi="Times New Roman"/>
          <w:b/>
          <w:sz w:val="19"/>
        </w:rPr>
        <w:t>VI. TARTIŞMA</w:t>
      </w:r>
    </w:p>
    <w:p>
      <w:pPr>
        <w:spacing w:before="0" w:after="60" w:line="240" w:lineRule="auto"/>
        <w:ind w:firstLine="202"/>
        <w:jc w:val="both"/>
      </w:pPr>
      <w:r>
        <w:rPr>
          <w:rFonts w:ascii="Times New Roman" w:hAnsi="Times New Roman"/>
          <w:b w:val="0"/>
          <w:i w:val="0"/>
          <w:sz w:val="19"/>
        </w:rPr>
        <w:t>Bulgular, hibrit artırmanın küçük ve dengesiz tablo veri kümelerinde dengeli doğruluğu ölçülü ama tutarlı biçimde artırdığına işaret etmektedir. Kazancın düz doğrulukta değil dengeli doğruluk ve makro-F1'de belirginleşmesi, iyileşmenin azınlık sınıfı başarımında yoğunlaştığını gösterir.</w:t>
      </w:r>
    </w:p>
    <w:p>
      <w:pPr>
        <w:spacing w:before="0" w:after="60" w:line="240" w:lineRule="auto"/>
        <w:ind w:firstLine="202"/>
        <w:jc w:val="both"/>
      </w:pPr>
      <w:r>
        <w:rPr>
          <w:rFonts w:ascii="Times New Roman" w:hAnsi="Times New Roman"/>
          <w:b w:val="0"/>
          <w:i w:val="0"/>
          <w:sz w:val="19"/>
        </w:rPr>
        <w:t xml:space="preserve">Bu sonuçlar, oto-kodlayıcı tabanlı artırmaya ilişkin önceki çalışmalarla iki noktada ayrışır. Davila Delgado ve Oyedele </w:t>
      </w:r>
      <w:r>
        <w:rPr>
          <w:rFonts w:ascii="Times New Roman" w:hAnsi="Times New Roman"/>
          <w:b w:val="0"/>
          <w:i w:val="0"/>
          <w:color w:val="C00000"/>
          <w:sz w:val="19"/>
        </w:rPr>
        <w:t>[11]</w:t>
      </w:r>
      <w:r>
        <w:rPr>
          <w:rFonts w:ascii="Times New Roman" w:hAnsi="Times New Roman"/>
          <w:b w:val="0"/>
          <w:i w:val="0"/>
          <w:sz w:val="19"/>
        </w:rPr>
        <w:t xml:space="preserve"> seyrek AE dahil dört AE türüyle küçük veri kümelerini 2–20 kat büyüterek belirgin yararlar bildirmiş, Ohno </w:t>
      </w:r>
      <w:r>
        <w:rPr>
          <w:rFonts w:ascii="Times New Roman" w:hAnsi="Times New Roman"/>
          <w:b w:val="0"/>
          <w:i w:val="0"/>
          <w:color w:val="C00000"/>
          <w:sz w:val="19"/>
        </w:rPr>
        <w:t>[10]</w:t>
      </w:r>
      <w:r>
        <w:rPr>
          <w:rFonts w:ascii="Times New Roman" w:hAnsi="Times New Roman"/>
          <w:b w:val="0"/>
          <w:i w:val="0"/>
          <w:sz w:val="19"/>
        </w:rPr>
        <w:t xml:space="preserve"> ise VAE tabanlı üretimi incelemiştir; ancak her ikisi de regresyon problemlerine odaklanır. Bu çalışma, aynı aileyi küçük örneklemli sınıflandırmaya taşımakta ve kazancın metrik ile değerlendirme protokolüne güçlü biçimde bağlı olduğunu göstermektedir. Kotelnikov ve ark. [19], SMOTE örneklerinin gerçek kayıtlara neredeyse sıfır uzaklıkta yoğunlaştığını göstermişti; bu, örtü dışına çıkan CVAE örneklemesinin eklenmesinin tasarım gerekçesini oluşturmuştur.</w:t>
      </w:r>
    </w:p>
    <w:p>
      <w:pPr>
        <w:spacing w:before="0" w:after="60" w:line="240" w:lineRule="auto"/>
        <w:ind w:firstLine="202"/>
        <w:jc w:val="both"/>
      </w:pPr>
      <w:r>
        <w:rPr>
          <w:rFonts w:ascii="Times New Roman" w:hAnsi="Times New Roman"/>
          <w:b w:val="0"/>
          <w:i w:val="0"/>
          <w:sz w:val="19"/>
        </w:rPr>
        <w:t xml:space="preserve">Değerlendirme tasarımına ilişkin ikinci bulgu, aynı artırmanın bölünmeden önce tüm veriye uygulanmasının düz doğruluğu ortalama yaklaşık 6,7 yüzde puan şişirdiği, artırmanın yalnızca eğitim katıyla sınırlandırılmasının ise bu kazancı ortadan kaldırdığıdır. Her sentetik örnek orijinallerden türetildiğinden, bölünmeden önce üretim eğitim ile test kümeleri arasındaki bağımlılığı bozar; bu, Kapoor ve Narayanan'ın [20] derlediği eğitim-test ayrımı ihlaliyle uyumludur. Vabalas ve ark. </w:t>
      </w:r>
      <w:r>
        <w:rPr>
          <w:rFonts w:ascii="Times New Roman" w:hAnsi="Times New Roman"/>
          <w:b w:val="0"/>
          <w:i w:val="0"/>
          <w:color w:val="C00000"/>
          <w:sz w:val="19"/>
        </w:rPr>
        <w:t>[4]</w:t>
      </w:r>
      <w:r>
        <w:rPr>
          <w:rFonts w:ascii="Times New Roman" w:hAnsi="Times New Roman"/>
          <w:b w:val="0"/>
          <w:i w:val="0"/>
          <w:sz w:val="19"/>
        </w:rPr>
        <w:t xml:space="preserve"> küçük örneklemde kusurlu doğrulamanın iyimser tahminlere yol açtığını göstermişti; naif protokoldeki şişme bunun artırmaya özgü bir örneğidir.</w:t>
      </w:r>
    </w:p>
    <w:p>
      <w:pPr>
        <w:spacing w:before="0" w:after="60" w:line="240" w:lineRule="auto"/>
        <w:ind w:firstLine="202"/>
        <w:jc w:val="both"/>
      </w:pPr>
      <w:r>
        <w:rPr>
          <w:rFonts w:ascii="Times New Roman" w:hAnsi="Times New Roman"/>
          <w:b w:val="0"/>
          <w:i w:val="0"/>
          <w:sz w:val="19"/>
        </w:rPr>
        <w:t>Çalışmanın sınırlılıkları açıktır. Veri kümesi sayısı yedi ile sınırlıdır; beş kat–iki tekrarlı çapraz doğrulama, kat ve tekrar sayısının sınırlılığı nedeniyle kalıntı varyans içerir. Ayrıca hibrit artırma, CVAE yapılandırması ve doldurma yöntemi, aynı yedi veri kümesi üzerinde yürütülen ön tarama deneylerinde çok sayıda aday arasından seçilmiştir; ayrı bir doğrulama kümesi ya da iç içe çapraz doğrulama kullanılmadığından, raporlanan kazanç bu seçim nedeniyle iyimser olabilir. Kazanç evrensel değildir; sınıf dağılımı görece dengeli olan Heart Disease ve Sonar kümelerinde kazanç sınırlı kalmıştır; bu, katkının esas olarak dengesizliğin belirgin olduğu kümelerde ortaya çıktığını düşündürmektedir. CTGAN ve TabDDPM gibi alternatif üretken yöntemlerle doğrudan karşılaştırma yapılmamış, sentetik örneklerin DCR ile ölçülen sadakati nicelenmemiştir.</w:t>
      </w:r>
    </w:p>
    <w:p>
      <w:pPr>
        <w:spacing w:before="160" w:after="60"/>
        <w:jc w:val="center"/>
      </w:pPr>
      <w:r>
        <w:rPr>
          <w:rFonts w:ascii="Times New Roman" w:hAnsi="Times New Roman"/>
          <w:b/>
          <w:sz w:val="19"/>
        </w:rPr>
        <w:t>VII. SONUÇ VE GELECEK ÇALIŞMALAR</w:t>
      </w:r>
    </w:p>
    <w:p>
      <w:pPr>
        <w:spacing w:before="0" w:after="60" w:line="240" w:lineRule="auto"/>
        <w:ind w:firstLine="202"/>
        <w:jc w:val="both"/>
      </w:pPr>
      <w:r>
        <w:rPr>
          <w:rFonts w:ascii="Times New Roman" w:hAnsi="Times New Roman"/>
          <w:b w:val="0"/>
          <w:i w:val="0"/>
          <w:sz w:val="19"/>
        </w:rPr>
        <w:t>Bu çalışmada, sınıf koşullu varyasyonel oto-kodlayıcı örneklemesini SMOTE interpolasyonuyla birleştiren hibrit artırma yöntemi, yedi UCI veri kümesinde sızıntıya kapalı bir protokol altında değerlendirilmiştir. Yöntem, altı çekirdek sınıflandırıcıda dengeli doğruluğu ortalama yaklaşık 2,5 yüzde puan artırmış; kazanç özellikle sınıf dengesizliğinin belirgin olduğu veri kümelerinde ve çok sayıda sınıflandırıcıda tutarlı yönde gözlenmiştir. Büyüklük ölçülüdür ve kesin bir üstünlük iddiasından çok, dengesiz küçük veride dikkatli bir artırma stratejisinin yararına işaret eder. Çalışma ayrıca, artırmanın bölünmeden önce uygulanmasının başarımı yapay olarak şişirdiğini ve metrik seçiminin sonuçları belirlediğini nicel olarak göstermiştir. Gelecek çalışmalar üç yönde genişletilebilir: daha fazla veri kümesi ve tekrarla istatistiksel gücün artırılması; hibrit artırmanın CTGAN ve TabDDPM gibi yöntemlerle farklı ölçeklerde karşılaştırılması; ve sentetik örneklerin DCR ile ölçülen sadakatinin sınıflandırma yararıyla ilişkisinin incelenmesi.</w:t>
      </w:r>
    </w:p>
    <w:p>
      <w:pPr>
        <w:spacing w:before="120" w:after="60"/>
        <w:ind w:firstLine="202"/>
        <w:jc w:val="both"/>
      </w:pPr>
      <w:r>
        <w:rPr>
          <w:rFonts w:ascii="Times New Roman" w:hAnsi="Times New Roman"/>
          <w:b/>
          <w:i/>
          <w:sz w:val="19"/>
        </w:rPr>
        <w:t xml:space="preserve">Kod ve Veri Erişilebilirliği. </w:t>
      </w:r>
      <w:r>
        <w:rPr>
          <w:rFonts w:ascii="Times New Roman" w:hAnsi="Times New Roman"/>
          <w:sz w:val="19"/>
        </w:rPr>
        <w:t xml:space="preserve">Bu çalışmanın tüm kaynak kodu, veri kümeleri ve sonuçları, yeniden üretilebilirlik için açık biçimde paylaşılmıştır:</w:t>
      </w:r>
    </w:p>
    <w:p>
      <w:pPr>
        <w:spacing w:before="0" w:after="60"/>
        <w:ind w:firstLine="0"/>
        <w:jc w:val="left"/>
      </w:pPr>
      <w:r>
        <w:rPr>
          <w:rFonts w:ascii="Times New Roman" w:hAnsi="Times New Roman"/>
          <w:sz w:val="17"/>
        </w:rPr>
        <w:t xml:space="preserve">https://github.com/caferbudak/leakage-free-augmentation-ateec2026</w:t>
      </w:r>
    </w:p>
    <w:p>
      <w:pPr>
        <w:spacing w:before="160" w:after="60"/>
        <w:jc w:val="center"/>
      </w:pPr>
      <w:r>
        <w:rPr>
          <w:rFonts w:ascii="Times New Roman" w:hAnsi="Times New Roman"/>
          <w:b/>
          <w:sz w:val="19"/>
        </w:rPr>
        <w:t>KAYNAKÇA</w:t>
      </w:r>
    </w:p>
    <w:p>
      <w:pPr>
        <w:spacing w:after="20"/>
        <w:ind w:left="317" w:hanging="317"/>
        <w:jc w:val="both"/>
      </w:pPr>
      <w:r>
        <w:rPr>
          <w:rFonts w:ascii="Times New Roman" w:hAnsi="Times New Roman"/>
          <w:sz w:val="16"/>
        </w:rPr>
        <w:t xml:space="preserve">[1] Z. Obermeyer ve E. J. Emanuel, “Predicting the future — big data, machine learning, and clinical medicine,” N. Engl. J. Med., c. 375, sy. 13, s. 1216–1219, 2016.</w:t>
      </w:r>
    </w:p>
    <w:p>
      <w:pPr>
        <w:spacing w:after="20"/>
        <w:ind w:left="317" w:hanging="317"/>
        <w:jc w:val="both"/>
      </w:pPr>
      <w:r>
        <w:rPr>
          <w:rFonts w:ascii="Times New Roman" w:hAnsi="Times New Roman"/>
          <w:color w:val="C00000"/>
          <w:sz w:val="16"/>
        </w:rPr>
        <w:t xml:space="preserve">[2] Y. Zhang ve C. Ling, “A strategy to apply machine learning to small datasets in materials science,” npj Comput. Mater., c. 4, no. 25, 2018.</w:t>
      </w:r>
    </w:p>
    <w:p>
      <w:pPr>
        <w:spacing w:after="20"/>
        <w:ind w:left="317" w:hanging="317"/>
        <w:jc w:val="both"/>
      </w:pPr>
      <w:r>
        <w:rPr>
          <w:rFonts w:ascii="Times New Roman" w:hAnsi="Times New Roman"/>
          <w:sz w:val="16"/>
        </w:rPr>
        <w:t xml:space="preserve">[3] X. Ying, “An overview of overfitting and its solutions,” J. Phys.: Conf. Ser., c. 1168, sy. 2, 022022, 2019.</w:t>
      </w:r>
    </w:p>
    <w:p>
      <w:pPr>
        <w:spacing w:after="20"/>
        <w:ind w:left="317" w:hanging="317"/>
        <w:jc w:val="both"/>
      </w:pPr>
      <w:r>
        <w:rPr>
          <w:rFonts w:ascii="Times New Roman" w:hAnsi="Times New Roman"/>
          <w:color w:val="C00000"/>
          <w:sz w:val="16"/>
        </w:rPr>
        <w:t xml:space="preserve">[4] A. Vabalas, E. Gowen, E. Poliakoff ve A. J. Casson, “Machine learning algorithm validation with a limited sample size,” PLoS ONE, c. 14, sy. 11, e0224365, 2019.</w:t>
      </w:r>
    </w:p>
    <w:p>
      <w:pPr>
        <w:spacing w:after="20"/>
        <w:ind w:left="317" w:hanging="317"/>
        <w:jc w:val="both"/>
      </w:pPr>
      <w:r>
        <w:rPr>
          <w:rFonts w:ascii="Times New Roman" w:hAnsi="Times New Roman"/>
          <w:sz w:val="16"/>
        </w:rPr>
        <w:t xml:space="preserve">[5] N. V. Chawla, K. W. Bowyer, L. O. Hall ve W. P. Kegelmeyer, “SMOTE: Synthetic minority over-sampling technique,” J. Artif. Intell. Res., c. 16, s. 321–357, 2002.</w:t>
      </w:r>
    </w:p>
    <w:p>
      <w:pPr>
        <w:spacing w:after="20"/>
        <w:ind w:left="317" w:hanging="317"/>
        <w:jc w:val="both"/>
      </w:pPr>
      <w:r>
        <w:rPr>
          <w:rFonts w:ascii="Times New Roman" w:hAnsi="Times New Roman"/>
          <w:sz w:val="16"/>
        </w:rPr>
        <w:t xml:space="preserve">[6] A. Fernández, S. García, F. Herrera ve N. V. Chawla, “SMOTE for learning from imbalanced data: progress and challenges,” J. Artif. Intell. Res., c. 61, s. 863–905, 2018.</w:t>
      </w:r>
    </w:p>
    <w:p>
      <w:pPr>
        <w:spacing w:after="20"/>
        <w:ind w:left="317" w:hanging="317"/>
        <w:jc w:val="both"/>
      </w:pPr>
      <w:r>
        <w:rPr>
          <w:rFonts w:ascii="Times New Roman" w:hAnsi="Times New Roman"/>
          <w:sz w:val="16"/>
        </w:rPr>
        <w:t xml:space="preserve">[7] G. E. Hinton ve R. R. Salakhutdinov, “Reducing the dimensionality of data with neural networks,” Science, c. 313, sy. 5786, s. 504–507, 2006.</w:t>
      </w:r>
    </w:p>
    <w:p>
      <w:pPr>
        <w:spacing w:after="20"/>
        <w:ind w:left="317" w:hanging="317"/>
        <w:jc w:val="both"/>
      </w:pPr>
      <w:r>
        <w:rPr>
          <w:rFonts w:ascii="Times New Roman" w:hAnsi="Times New Roman"/>
          <w:color w:val="C00000"/>
          <w:sz w:val="16"/>
        </w:rPr>
        <w:t xml:space="preserve">[8] D. Bank, N. Koenigstein ve R. Giryes, “Autoencoders,” arXiv:2003.05991, 2020.</w:t>
      </w:r>
    </w:p>
    <w:p>
      <w:pPr>
        <w:spacing w:after="20"/>
        <w:ind w:left="317" w:hanging="317"/>
        <w:jc w:val="both"/>
      </w:pPr>
      <w:r>
        <w:rPr>
          <w:rFonts w:ascii="Times New Roman" w:hAnsi="Times New Roman"/>
          <w:sz w:val="16"/>
        </w:rPr>
        <w:t xml:space="preserve">[9] T. DeVries ve G. W. Taylor, “Dataset augmentation in feature space,” ICLR Workshop, arXiv:1702.05538, 2017.</w:t>
      </w:r>
    </w:p>
    <w:p>
      <w:pPr>
        <w:spacing w:after="20"/>
        <w:ind w:left="317" w:hanging="317"/>
        <w:jc w:val="both"/>
      </w:pPr>
      <w:r>
        <w:rPr>
          <w:rFonts w:ascii="Times New Roman" w:hAnsi="Times New Roman"/>
          <w:color w:val="C00000"/>
          <w:sz w:val="16"/>
        </w:rPr>
        <w:t xml:space="preserve">[10] H. Ohno, “Auto-encoder-based generative models for data augmentation on regression problems,” Soft Comput., c. 24, sy. 11, s. 7999–8009, 2020.</w:t>
      </w:r>
    </w:p>
    <w:p>
      <w:pPr>
        <w:spacing w:after="20"/>
        <w:ind w:left="317" w:hanging="317"/>
        <w:jc w:val="both"/>
      </w:pPr>
      <w:r>
        <w:rPr>
          <w:rFonts w:ascii="Times New Roman" w:hAnsi="Times New Roman"/>
          <w:color w:val="C00000"/>
          <w:sz w:val="16"/>
        </w:rPr>
        <w:t xml:space="preserve">[11] J. M. Davila Delgado ve L. Oyedele, “Deep learning with small datasets: using autoencoders to address limited datasets in construction management,” Appl. Soft Comput., c. 112, 107836, 2021.</w:t>
      </w:r>
    </w:p>
    <w:p>
      <w:pPr>
        <w:spacing w:after="20"/>
        <w:ind w:left="317" w:hanging="317"/>
        <w:jc w:val="both"/>
      </w:pPr>
      <w:r>
        <w:rPr>
          <w:rFonts w:ascii="Times New Roman" w:hAnsi="Times New Roman"/>
          <w:sz w:val="16"/>
        </w:rPr>
        <w:t xml:space="preserve">[12] H. He, Y. Bai, E. A. Garcia ve S. Li, “ADASYN: Adaptive synthetic sampling approach for imbalanced learning,” Proc. IEEE IJCNN, s. 1322–1328, 2008.</w:t>
      </w:r>
    </w:p>
    <w:p>
      <w:pPr>
        <w:spacing w:after="20"/>
        <w:ind w:left="317" w:hanging="317"/>
        <w:jc w:val="both"/>
      </w:pPr>
      <w:r>
        <w:rPr>
          <w:rFonts w:ascii="Times New Roman" w:hAnsi="Times New Roman"/>
          <w:sz w:val="16"/>
        </w:rPr>
        <w:t xml:space="preserve">[13] D. P. Kingma ve M. Welling, “Auto-encoding variational Bayes,” Proc. ICLR, arXiv:1312.6114, 2014.</w:t>
      </w:r>
    </w:p>
    <w:p>
      <w:pPr>
        <w:spacing w:after="20"/>
        <w:ind w:left="317" w:hanging="317"/>
        <w:jc w:val="both"/>
      </w:pPr>
      <w:r>
        <w:rPr>
          <w:rFonts w:ascii="Times New Roman" w:hAnsi="Times New Roman"/>
          <w:color w:val="C00000"/>
          <w:sz w:val="16"/>
        </w:rPr>
        <w:t xml:space="preserve">[14] A. Makhzani, J. Shlens, N. Jaitly, I. Goodfellow ve B. Frey, “Adversarial autoencoders,” arXiv:1511.05644, 2016.</w:t>
      </w:r>
    </w:p>
    <w:p>
      <w:pPr>
        <w:spacing w:after="20"/>
        <w:ind w:left="317" w:hanging="317"/>
        <w:jc w:val="both"/>
      </w:pPr>
      <w:r>
        <w:rPr>
          <w:rFonts w:ascii="Times New Roman" w:hAnsi="Times New Roman"/>
          <w:sz w:val="16"/>
        </w:rPr>
        <w:t xml:space="preserve">[15] D. Papadopoulos ve V. D. Karalis, “Variational autoencoders for data augmentation in clinical studies,” Appl. Sci., c. 13, sy. 15, 8793, 2023.</w:t>
      </w:r>
    </w:p>
    <w:p>
      <w:pPr>
        <w:spacing w:after="20"/>
        <w:ind w:left="317" w:hanging="317"/>
        <w:jc w:val="both"/>
      </w:pPr>
      <w:r>
        <w:rPr>
          <w:rFonts w:ascii="Times New Roman" w:hAnsi="Times New Roman"/>
          <w:sz w:val="16"/>
        </w:rPr>
        <w:t xml:space="preserve">[16] V. A. Fajardo, D. Findlay, R. Houmanfar, C. Jaiswal, J. Liang ve H. Xie, “VOS: a method for variational oversampling of imbalanced data,” arXiv:1809.02596, 2018.</w:t>
      </w:r>
    </w:p>
    <w:p>
      <w:pPr>
        <w:spacing w:after="20"/>
        <w:ind w:left="317" w:hanging="317"/>
        <w:jc w:val="both"/>
      </w:pPr>
      <w:r>
        <w:rPr>
          <w:rFonts w:ascii="Times New Roman" w:hAnsi="Times New Roman"/>
          <w:sz w:val="16"/>
        </w:rPr>
        <w:t xml:space="preserve">[17] S. Hong, S. An ve J.-J. Jeon, “Improving SMOTE via fusing conditional VAE for data-adaptive noise filtering,” Appl. Intell., c. 55, sy. 12, 841, 2025.</w:t>
      </w:r>
    </w:p>
    <w:p>
      <w:pPr>
        <w:spacing w:after="20"/>
        <w:ind w:left="317" w:hanging="317"/>
        <w:jc w:val="both"/>
      </w:pPr>
      <w:r>
        <w:rPr>
          <w:rFonts w:ascii="Times New Roman" w:hAnsi="Times New Roman"/>
          <w:sz w:val="16"/>
        </w:rPr>
        <w:t xml:space="preserve">[18] L. Xu, M. Skoularidou, A. Cuesta-Infante ve K. Veeramachaneni, “Modeling tabular data using conditional GAN,” Proc. NeurIPS, arXiv:1907.00503, 2019.</w:t>
      </w:r>
    </w:p>
    <w:p>
      <w:pPr>
        <w:spacing w:after="20"/>
        <w:ind w:left="317" w:hanging="317"/>
        <w:jc w:val="both"/>
      </w:pPr>
      <w:r>
        <w:rPr>
          <w:rFonts w:ascii="Times New Roman" w:hAnsi="Times New Roman"/>
          <w:sz w:val="16"/>
        </w:rPr>
        <w:t xml:space="preserve">[19] A. Kotelnikov, D. Baranchuk, I. Rubachev ve A. Babenko, “TabDDPM: Modelling tabular data with diffusion models,” Proc. ICML, PMLR c. 202, s. 17564–17579, 2023.</w:t>
      </w:r>
    </w:p>
    <w:p>
      <w:pPr>
        <w:spacing w:after="20"/>
        <w:ind w:left="317" w:hanging="317"/>
        <w:jc w:val="both"/>
      </w:pPr>
      <w:r>
        <w:rPr>
          <w:rFonts w:ascii="Times New Roman" w:hAnsi="Times New Roman"/>
          <w:sz w:val="16"/>
        </w:rPr>
        <w:t xml:space="preserve">[20] S. Kapoor ve A. Narayanan, “Leakage and the reproducibility crisis in machine-learning-based science,” Patterns, c. 4, sy. 9, 100804, 2023.</w:t>
      </w:r>
    </w:p>
    <w:p>
      <w:pPr>
        <w:spacing w:after="20"/>
        <w:ind w:left="317" w:hanging="317"/>
        <w:jc w:val="both"/>
      </w:pPr>
      <w:r>
        <w:rPr>
          <w:rFonts w:ascii="Times New Roman" w:hAnsi="Times New Roman"/>
          <w:sz w:val="16"/>
        </w:rPr>
        <w:t xml:space="preserve">[21] D. J. Stekhoven ve P. Bühlmann, “MissForest—non-parametric missing value imputation for mixed-type data,” Bioinformatics, c. 28, sy. 1, s. 112–118, 2012.</w:t>
      </w:r>
    </w:p>
    <w:p>
      <w:pPr>
        <w:spacing w:after="20"/>
        <w:ind w:left="317" w:hanging="317"/>
        <w:jc w:val="both"/>
      </w:pPr>
      <w:r>
        <w:rPr>
          <w:rFonts w:ascii="Times New Roman" w:hAnsi="Times New Roman"/>
          <w:sz w:val="16"/>
        </w:rPr>
        <w:t xml:space="preserve">[22] K. Sohn, H. Lee ve X. Yan, “Learning structured output representation using deep conditional generative models,” Proc. NeurIPS, s. 3483–3491, 2015.</w:t>
      </w:r>
    </w:p>
    <w:p>
      <w:pPr>
        <w:spacing w:after="20"/>
        <w:ind w:left="317" w:hanging="317"/>
        <w:jc w:val="both"/>
      </w:pPr>
      <w:r>
        <w:rPr>
          <w:rFonts w:ascii="Times New Roman" w:hAnsi="Times New Roman"/>
          <w:sz w:val="16"/>
        </w:rPr>
        <w:t xml:space="preserve">[23] S. Arlot ve A. Celisse, “A survey of cross-validation procedures for model selection,” Stat. Surv., c. 4, s. 40–79, 2010.</w:t>
      </w:r>
    </w:p>
    <w:p>
      <w:pPr>
        <w:spacing w:after="20"/>
        <w:ind w:left="317" w:hanging="317"/>
        <w:jc w:val="both"/>
      </w:pPr>
      <w:r>
        <w:rPr>
          <w:rFonts w:ascii="Times New Roman" w:hAnsi="Times New Roman"/>
          <w:sz w:val="16"/>
        </w:rPr>
        <w:t xml:space="preserve">[24] D. Dua ve C. Graff, “UCI Machine Learning Repository,” University of California, Irvine, 2019.</w:t>
      </w:r>
    </w:p>
    <w:p>
      <w:pPr>
        <w:spacing w:after="20"/>
        <w:ind w:left="317" w:hanging="317"/>
        <w:jc w:val="both"/>
      </w:pPr>
      <w:r>
        <w:rPr>
          <w:rFonts w:ascii="Times New Roman" w:hAnsi="Times New Roman"/>
          <w:sz w:val="16"/>
        </w:rPr>
        <w:t xml:space="preserve">[25] I. W. Evett ve E. J. Spiehler, “Rule induction in forensic science,” Home Office Forensic Science Service, 1987.</w:t>
      </w:r>
    </w:p>
    <w:sectPr w:rsidR="00FC693F" w:rsidRPr="0006063C" w:rsidSect="00034616">
      <w:type w:val="continuous"/>
      <w:pgSz w:w="12240" w:h="15840"/>
      <w:pgMar w:top="1080" w:right="936" w:bottom="1080" w:left="936"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