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Quarterly report</w:t>
      </w:r>
    </w:p>
    <w:p>
      <w:pPr>
        <w:pStyle w:val="BodyText"/>
        <w:bidi w:val="0"/>
        <w:jc w:val="left"/>
        <w:rPr/>
      </w:pPr>
      <w:r>
        <w:rPr/>
        <w:t xml:space="preserve">This is the </w:t>
      </w:r>
      <w:r>
        <w:rPr>
          <w:b/>
        </w:rPr>
        <w:t>first</w:t>
      </w:r>
      <w:r>
        <w:rPr/>
        <w:t xml:space="preserve"> paragraph with </w:t>
      </w:r>
      <w:r>
        <w:rPr>
          <w:i/>
        </w:rPr>
        <w:t>italic</w:t>
      </w:r>
      <w:r>
        <w:rPr/>
        <w:t xml:space="preserve"> and </w:t>
      </w:r>
      <w:r>
        <w:rPr>
          <w:u w:val="single"/>
        </w:rPr>
        <w:t>underlined</w:t>
      </w:r>
      <w:r>
        <w:rPr/>
        <w:t xml:space="preserve"> words.</w:t>
      </w:r>
    </w:p>
    <w:p>
      <w:pPr>
        <w:pStyle w:val="Heading2"/>
        <w:bidi w:val="0"/>
        <w:jc w:val="left"/>
        <w:rPr/>
      </w:pPr>
      <w:r>
        <w:rPr/>
        <w:t>Details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First point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Second point — zażółć</w:t>
      </w:r>
    </w:p>
    <w:tbl>
      <w:tblPr>
        <w:tblW w:w="827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06"/>
        <w:gridCol w:w="421"/>
      </w:tblGrid>
      <w:tr>
        <w:trPr/>
        <w:tc>
          <w:tcPr>
            <w:tcW w:w="40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A1</w:t>
            </w:r>
          </w:p>
        </w:tc>
        <w:tc>
          <w:tcPr>
            <w:tcW w:w="42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B1</w:t>
            </w:r>
          </w:p>
        </w:tc>
      </w:tr>
      <w:tr>
        <w:trPr/>
        <w:tc>
          <w:tcPr>
            <w:tcW w:w="40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A2</w:t>
            </w:r>
          </w:p>
        </w:tc>
        <w:tc>
          <w:tcPr>
            <w:tcW w:w="42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B2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  <w:t>Last paragraph.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Noto Sans">
    <w:charset w:val="00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WenQuanYi Zen Hei" w:cs="FreeSans"/>
      <w:b/>
      <w:bCs/>
      <w:sz w:val="36"/>
      <w:szCs w:val="3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Fixture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