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C191F" w14:textId="77777777" w:rsidR="009C3D08" w:rsidRPr="009C3D08" w:rsidRDefault="009C3D08" w:rsidP="009C3D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C3D08">
        <w:rPr>
          <w:rFonts w:ascii="Times New Roman" w:eastAsia="Times New Roman" w:hAnsi="Times New Roman" w:cs="Times New Roman"/>
          <w:b/>
          <w:bCs/>
          <w:kern w:val="36"/>
          <w:sz w:val="48"/>
          <w:szCs w:val="48"/>
          <w14:ligatures w14:val="none"/>
        </w:rPr>
        <w:t>The Cold Chain Resource Center</w:t>
      </w:r>
    </w:p>
    <w:p w14:paraId="6D75006C" w14:textId="77777777" w:rsidR="009C3D08" w:rsidRPr="009C3D08" w:rsidRDefault="009C3D08" w:rsidP="009C3D08">
      <w:pPr>
        <w:spacing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Precision in Motion, Safety in Every Degree.</w:t>
      </w:r>
      <w:r w:rsidRPr="009C3D08">
        <w:rPr>
          <w:rFonts w:ascii="Times New Roman" w:eastAsia="Times New Roman" w:hAnsi="Times New Roman" w:cs="Times New Roman"/>
          <w:kern w:val="0"/>
          <w:sz w:val="24"/>
          <w:szCs w:val="24"/>
          <w14:ligatures w14:val="none"/>
        </w:rPr>
        <w:t xml:space="preserve"> At Supreme Trucking Group, we understand that in 2026, refrigerated LTL is no longer just about moving pallets—it’s about moving data. With the FSMA 204 traceability standards transforming the industry, our mission is to provide more than just a temperature-controlled trailer; we provide a shield of compliance for your brand. From real-time temp-log transparency to expert handling of the Food Traceability List (FTL), Supreme Trucking Group is the partner you need to navigate the most complex regulatory era in logistics history. We don’t just deliver your cargo; we deliver the peace of mind that your records are audit-ready and your product is pristine.</w:t>
      </w:r>
    </w:p>
    <w:p w14:paraId="3C9E2D90" w14:textId="77777777" w:rsidR="009C3D08" w:rsidRPr="009C3D08" w:rsidRDefault="009C3D08" w:rsidP="009C3D08">
      <w:pPr>
        <w:spacing w:after="0"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kern w:val="0"/>
          <w:sz w:val="24"/>
          <w:szCs w:val="24"/>
          <w14:ligatures w14:val="none"/>
        </w:rPr>
        <w:pict w14:anchorId="33B57771">
          <v:rect id="_x0000_i1025" style="width:0;height:1.5pt" o:hralign="center" o:hrstd="t" o:hr="t" fillcolor="#a0a0a0" stroked="f"/>
        </w:pict>
      </w:r>
    </w:p>
    <w:p w14:paraId="1B46D0BF" w14:textId="277EF78B" w:rsidR="009C3D08" w:rsidRPr="009C3D08" w:rsidRDefault="009C3D08" w:rsidP="009C3D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3D08">
        <w:rPr>
          <w:rFonts w:ascii="Times New Roman" w:eastAsia="Times New Roman" w:hAnsi="Times New Roman" w:cs="Times New Roman"/>
          <w:b/>
          <w:bCs/>
          <w:kern w:val="0"/>
          <w:sz w:val="27"/>
          <w:szCs w:val="27"/>
          <w14:ligatures w14:val="none"/>
        </w:rPr>
        <w:t>2026 Compliance Hub</w:t>
      </w:r>
    </w:p>
    <w:p w14:paraId="06C2E44A"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Featured Article: The Shipper’s 2026 FSMA 204 Readiness Checklist</w:t>
      </w:r>
    </w:p>
    <w:p w14:paraId="7DBCA77F"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i/>
          <w:iCs/>
          <w:kern w:val="0"/>
          <w:sz w:val="24"/>
          <w:szCs w:val="24"/>
          <w14:ligatures w14:val="none"/>
        </w:rPr>
        <w:t>The FDA’s Section 204 is now active. While enforcement timelines have been extended to 2028, major retailers are already requiring these standards today. Use this checklist to ensure your brand isn’t left behind.</w:t>
      </w:r>
    </w:p>
    <w:p w14:paraId="500945C5"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1. Know Your FTL Exposure</w:t>
      </w:r>
    </w:p>
    <w:p w14:paraId="0EC66C23" w14:textId="77777777" w:rsidR="009C3D08" w:rsidRPr="009C3D08" w:rsidRDefault="009C3D08" w:rsidP="009C3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C3D08">
        <w:rPr>
          <w:rFonts w:ascii="Times New Roman" w:eastAsia="Times New Roman" w:hAnsi="Times New Roman" w:cs="Times New Roman"/>
          <w:kern w:val="0"/>
          <w:sz w:val="24"/>
          <w:szCs w:val="24"/>
          <w14:ligatures w14:val="none"/>
        </w:rPr>
        <w:t>[ ]</w:t>
      </w:r>
      <w:proofErr w:type="gramEnd"/>
      <w:r w:rsidRPr="009C3D08">
        <w:rPr>
          <w:rFonts w:ascii="Times New Roman" w:eastAsia="Times New Roman" w:hAnsi="Times New Roman" w:cs="Times New Roman"/>
          <w:kern w:val="0"/>
          <w:sz w:val="24"/>
          <w:szCs w:val="24"/>
          <w14:ligatures w14:val="none"/>
        </w:rPr>
        <w:t xml:space="preserve"> </w:t>
      </w:r>
      <w:r w:rsidRPr="009C3D08">
        <w:rPr>
          <w:rFonts w:ascii="Times New Roman" w:eastAsia="Times New Roman" w:hAnsi="Times New Roman" w:cs="Times New Roman"/>
          <w:b/>
          <w:bCs/>
          <w:kern w:val="0"/>
          <w:sz w:val="24"/>
          <w:szCs w:val="24"/>
          <w14:ligatures w14:val="none"/>
        </w:rPr>
        <w:t>List Audit:</w:t>
      </w:r>
      <w:r w:rsidRPr="009C3D08">
        <w:rPr>
          <w:rFonts w:ascii="Times New Roman" w:eastAsia="Times New Roman" w:hAnsi="Times New Roman" w:cs="Times New Roman"/>
          <w:kern w:val="0"/>
          <w:sz w:val="24"/>
          <w:szCs w:val="24"/>
          <w14:ligatures w14:val="none"/>
        </w:rPr>
        <w:t xml:space="preserve"> Are your products on the FDA’s Food Traceability List? (Includes soft cheeses, nut butters, leafy greens, and deli salads).</w:t>
      </w:r>
    </w:p>
    <w:p w14:paraId="6D2F3ED2" w14:textId="77777777" w:rsidR="009C3D08" w:rsidRPr="009C3D08" w:rsidRDefault="009C3D08" w:rsidP="009C3D0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C3D08">
        <w:rPr>
          <w:rFonts w:ascii="Times New Roman" w:eastAsia="Times New Roman" w:hAnsi="Times New Roman" w:cs="Times New Roman"/>
          <w:kern w:val="0"/>
          <w:sz w:val="24"/>
          <w:szCs w:val="24"/>
          <w14:ligatures w14:val="none"/>
        </w:rPr>
        <w:t>[ ]</w:t>
      </w:r>
      <w:proofErr w:type="gramEnd"/>
      <w:r w:rsidRPr="009C3D08">
        <w:rPr>
          <w:rFonts w:ascii="Times New Roman" w:eastAsia="Times New Roman" w:hAnsi="Times New Roman" w:cs="Times New Roman"/>
          <w:kern w:val="0"/>
          <w:sz w:val="24"/>
          <w:szCs w:val="24"/>
          <w14:ligatures w14:val="none"/>
        </w:rPr>
        <w:t xml:space="preserve"> </w:t>
      </w:r>
      <w:r w:rsidRPr="009C3D08">
        <w:rPr>
          <w:rFonts w:ascii="Times New Roman" w:eastAsia="Times New Roman" w:hAnsi="Times New Roman" w:cs="Times New Roman"/>
          <w:b/>
          <w:bCs/>
          <w:kern w:val="0"/>
          <w:sz w:val="24"/>
          <w:szCs w:val="24"/>
          <w14:ligatures w14:val="none"/>
        </w:rPr>
        <w:t>Ingredient Tracking:</w:t>
      </w:r>
      <w:r w:rsidRPr="009C3D08">
        <w:rPr>
          <w:rFonts w:ascii="Times New Roman" w:eastAsia="Times New Roman" w:hAnsi="Times New Roman" w:cs="Times New Roman"/>
          <w:kern w:val="0"/>
          <w:sz w:val="24"/>
          <w:szCs w:val="24"/>
          <w14:ligatures w14:val="none"/>
        </w:rPr>
        <w:t xml:space="preserve"> If your product contains an FTL item as an ingredient, the entire shipment is subject to the rule.</w:t>
      </w:r>
    </w:p>
    <w:p w14:paraId="488A02C3"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2. The 24-Hour Rule</w:t>
      </w:r>
    </w:p>
    <w:p w14:paraId="7198D212" w14:textId="77777777" w:rsidR="009C3D08" w:rsidRPr="009C3D08" w:rsidRDefault="009C3D08" w:rsidP="009C3D0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C3D08">
        <w:rPr>
          <w:rFonts w:ascii="Times New Roman" w:eastAsia="Times New Roman" w:hAnsi="Times New Roman" w:cs="Times New Roman"/>
          <w:kern w:val="0"/>
          <w:sz w:val="24"/>
          <w:szCs w:val="24"/>
          <w14:ligatures w14:val="none"/>
        </w:rPr>
        <w:t>[ ]</w:t>
      </w:r>
      <w:proofErr w:type="gramEnd"/>
      <w:r w:rsidRPr="009C3D08">
        <w:rPr>
          <w:rFonts w:ascii="Times New Roman" w:eastAsia="Times New Roman" w:hAnsi="Times New Roman" w:cs="Times New Roman"/>
          <w:kern w:val="0"/>
          <w:sz w:val="24"/>
          <w:szCs w:val="24"/>
          <w14:ligatures w14:val="none"/>
        </w:rPr>
        <w:t xml:space="preserve"> </w:t>
      </w:r>
      <w:r w:rsidRPr="009C3D08">
        <w:rPr>
          <w:rFonts w:ascii="Times New Roman" w:eastAsia="Times New Roman" w:hAnsi="Times New Roman" w:cs="Times New Roman"/>
          <w:b/>
          <w:bCs/>
          <w:kern w:val="0"/>
          <w:sz w:val="24"/>
          <w:szCs w:val="24"/>
          <w14:ligatures w14:val="none"/>
        </w:rPr>
        <w:t>Electronic Retrieval:</w:t>
      </w:r>
      <w:r w:rsidRPr="009C3D08">
        <w:rPr>
          <w:rFonts w:ascii="Times New Roman" w:eastAsia="Times New Roman" w:hAnsi="Times New Roman" w:cs="Times New Roman"/>
          <w:kern w:val="0"/>
          <w:sz w:val="24"/>
          <w:szCs w:val="24"/>
          <w14:ligatures w14:val="none"/>
        </w:rPr>
        <w:t xml:space="preserve"> Can you produce a </w:t>
      </w:r>
      <w:proofErr w:type="spellStart"/>
      <w:r w:rsidRPr="009C3D08">
        <w:rPr>
          <w:rFonts w:ascii="Times New Roman" w:eastAsia="Times New Roman" w:hAnsi="Times New Roman" w:cs="Times New Roman"/>
          <w:kern w:val="0"/>
          <w:sz w:val="24"/>
          <w:szCs w:val="24"/>
          <w14:ligatures w14:val="none"/>
        </w:rPr>
        <w:t>sortable</w:t>
      </w:r>
      <w:proofErr w:type="spellEnd"/>
      <w:r w:rsidRPr="009C3D08">
        <w:rPr>
          <w:rFonts w:ascii="Times New Roman" w:eastAsia="Times New Roman" w:hAnsi="Times New Roman" w:cs="Times New Roman"/>
          <w:kern w:val="0"/>
          <w:sz w:val="24"/>
          <w:szCs w:val="24"/>
          <w14:ligatures w14:val="none"/>
        </w:rPr>
        <w:t xml:space="preserve"> electronic spreadsheet of your traceability data within 24 hours of a request?</w:t>
      </w:r>
    </w:p>
    <w:p w14:paraId="0EBFF793" w14:textId="77777777" w:rsidR="009C3D08" w:rsidRPr="009C3D08" w:rsidRDefault="009C3D08" w:rsidP="009C3D0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C3D08">
        <w:rPr>
          <w:rFonts w:ascii="Times New Roman" w:eastAsia="Times New Roman" w:hAnsi="Times New Roman" w:cs="Times New Roman"/>
          <w:kern w:val="0"/>
          <w:sz w:val="24"/>
          <w:szCs w:val="24"/>
          <w14:ligatures w14:val="none"/>
        </w:rPr>
        <w:t>[ ]</w:t>
      </w:r>
      <w:proofErr w:type="gramEnd"/>
      <w:r w:rsidRPr="009C3D08">
        <w:rPr>
          <w:rFonts w:ascii="Times New Roman" w:eastAsia="Times New Roman" w:hAnsi="Times New Roman" w:cs="Times New Roman"/>
          <w:kern w:val="0"/>
          <w:sz w:val="24"/>
          <w:szCs w:val="24"/>
          <w14:ligatures w14:val="none"/>
        </w:rPr>
        <w:t xml:space="preserve"> </w:t>
      </w:r>
      <w:r w:rsidRPr="009C3D08">
        <w:rPr>
          <w:rFonts w:ascii="Times New Roman" w:eastAsia="Times New Roman" w:hAnsi="Times New Roman" w:cs="Times New Roman"/>
          <w:b/>
          <w:bCs/>
          <w:kern w:val="0"/>
          <w:sz w:val="24"/>
          <w:szCs w:val="24"/>
          <w14:ligatures w14:val="none"/>
        </w:rPr>
        <w:t>Digital Integration:</w:t>
      </w:r>
      <w:r w:rsidRPr="009C3D08">
        <w:rPr>
          <w:rFonts w:ascii="Times New Roman" w:eastAsia="Times New Roman" w:hAnsi="Times New Roman" w:cs="Times New Roman"/>
          <w:kern w:val="0"/>
          <w:sz w:val="24"/>
          <w:szCs w:val="24"/>
          <w14:ligatures w14:val="none"/>
        </w:rPr>
        <w:t xml:space="preserve"> Is your carrier’s system capable of feeding data directly into your traceability plan?</w:t>
      </w:r>
    </w:p>
    <w:p w14:paraId="75897FC4"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3. Critical Tracking Events (CTEs)</w:t>
      </w:r>
    </w:p>
    <w:p w14:paraId="36F77957" w14:textId="77777777" w:rsidR="009C3D08" w:rsidRPr="009C3D08" w:rsidRDefault="009C3D08" w:rsidP="009C3D0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C3D08">
        <w:rPr>
          <w:rFonts w:ascii="Times New Roman" w:eastAsia="Times New Roman" w:hAnsi="Times New Roman" w:cs="Times New Roman"/>
          <w:kern w:val="0"/>
          <w:sz w:val="24"/>
          <w:szCs w:val="24"/>
          <w14:ligatures w14:val="none"/>
        </w:rPr>
        <w:t>[ ]</w:t>
      </w:r>
      <w:proofErr w:type="gramEnd"/>
      <w:r w:rsidRPr="009C3D08">
        <w:rPr>
          <w:rFonts w:ascii="Times New Roman" w:eastAsia="Times New Roman" w:hAnsi="Times New Roman" w:cs="Times New Roman"/>
          <w:kern w:val="0"/>
          <w:sz w:val="24"/>
          <w:szCs w:val="24"/>
          <w14:ligatures w14:val="none"/>
        </w:rPr>
        <w:t xml:space="preserve"> </w:t>
      </w:r>
      <w:r w:rsidRPr="009C3D08">
        <w:rPr>
          <w:rFonts w:ascii="Times New Roman" w:eastAsia="Times New Roman" w:hAnsi="Times New Roman" w:cs="Times New Roman"/>
          <w:b/>
          <w:bCs/>
          <w:kern w:val="0"/>
          <w:sz w:val="24"/>
          <w:szCs w:val="24"/>
          <w14:ligatures w14:val="none"/>
        </w:rPr>
        <w:t>Traceability Lot Codes:</w:t>
      </w:r>
      <w:r w:rsidRPr="009C3D08">
        <w:rPr>
          <w:rFonts w:ascii="Times New Roman" w:eastAsia="Times New Roman" w:hAnsi="Times New Roman" w:cs="Times New Roman"/>
          <w:kern w:val="0"/>
          <w:sz w:val="24"/>
          <w:szCs w:val="24"/>
          <w14:ligatures w14:val="none"/>
        </w:rPr>
        <w:t xml:space="preserve"> Ensure every pallet has a TLC assigned at the point of origin.</w:t>
      </w:r>
    </w:p>
    <w:p w14:paraId="4EF6D140" w14:textId="77777777" w:rsidR="009C3D08" w:rsidRPr="009C3D08" w:rsidRDefault="009C3D08" w:rsidP="009C3D0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C3D08">
        <w:rPr>
          <w:rFonts w:ascii="Times New Roman" w:eastAsia="Times New Roman" w:hAnsi="Times New Roman" w:cs="Times New Roman"/>
          <w:kern w:val="0"/>
          <w:sz w:val="24"/>
          <w:szCs w:val="24"/>
          <w14:ligatures w14:val="none"/>
        </w:rPr>
        <w:t>[ ]</w:t>
      </w:r>
      <w:proofErr w:type="gramEnd"/>
      <w:r w:rsidRPr="009C3D08">
        <w:rPr>
          <w:rFonts w:ascii="Times New Roman" w:eastAsia="Times New Roman" w:hAnsi="Times New Roman" w:cs="Times New Roman"/>
          <w:kern w:val="0"/>
          <w:sz w:val="24"/>
          <w:szCs w:val="24"/>
          <w14:ligatures w14:val="none"/>
        </w:rPr>
        <w:t xml:space="preserve"> </w:t>
      </w:r>
      <w:r w:rsidRPr="009C3D08">
        <w:rPr>
          <w:rFonts w:ascii="Times New Roman" w:eastAsia="Times New Roman" w:hAnsi="Times New Roman" w:cs="Times New Roman"/>
          <w:b/>
          <w:bCs/>
          <w:kern w:val="0"/>
          <w:sz w:val="24"/>
          <w:szCs w:val="24"/>
          <w14:ligatures w14:val="none"/>
        </w:rPr>
        <w:t>Key Data Elements (KDEs):</w:t>
      </w:r>
      <w:r w:rsidRPr="009C3D08">
        <w:rPr>
          <w:rFonts w:ascii="Times New Roman" w:eastAsia="Times New Roman" w:hAnsi="Times New Roman" w:cs="Times New Roman"/>
          <w:kern w:val="0"/>
          <w:sz w:val="24"/>
          <w:szCs w:val="24"/>
          <w14:ligatures w14:val="none"/>
        </w:rPr>
        <w:t xml:space="preserve"> Verify that your shipping documents include the TLC, location description, and exact date of transfer.</w:t>
      </w:r>
    </w:p>
    <w:p w14:paraId="6DC66B80"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4. Supreme Guarantee</w:t>
      </w:r>
    </w:p>
    <w:p w14:paraId="7016F2E0" w14:textId="77777777" w:rsidR="009C3D08" w:rsidRPr="009C3D08" w:rsidRDefault="009C3D08" w:rsidP="009C3D0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gramStart"/>
      <w:r w:rsidRPr="009C3D08">
        <w:rPr>
          <w:rFonts w:ascii="Times New Roman" w:eastAsia="Times New Roman" w:hAnsi="Times New Roman" w:cs="Times New Roman"/>
          <w:kern w:val="0"/>
          <w:sz w:val="24"/>
          <w:szCs w:val="24"/>
          <w14:ligatures w14:val="none"/>
        </w:rPr>
        <w:lastRenderedPageBreak/>
        <w:t>[ ]</w:t>
      </w:r>
      <w:proofErr w:type="gramEnd"/>
      <w:r w:rsidRPr="009C3D08">
        <w:rPr>
          <w:rFonts w:ascii="Times New Roman" w:eastAsia="Times New Roman" w:hAnsi="Times New Roman" w:cs="Times New Roman"/>
          <w:kern w:val="0"/>
          <w:sz w:val="24"/>
          <w:szCs w:val="24"/>
          <w14:ligatures w14:val="none"/>
        </w:rPr>
        <w:t xml:space="preserve"> </w:t>
      </w:r>
      <w:r w:rsidRPr="009C3D08">
        <w:rPr>
          <w:rFonts w:ascii="Times New Roman" w:eastAsia="Times New Roman" w:hAnsi="Times New Roman" w:cs="Times New Roman"/>
          <w:b/>
          <w:bCs/>
          <w:kern w:val="0"/>
          <w:sz w:val="24"/>
          <w:szCs w:val="24"/>
          <w14:ligatures w14:val="none"/>
        </w:rPr>
        <w:t>Verified Records:</w:t>
      </w:r>
      <w:r w:rsidRPr="009C3D08">
        <w:rPr>
          <w:rFonts w:ascii="Times New Roman" w:eastAsia="Times New Roman" w:hAnsi="Times New Roman" w:cs="Times New Roman"/>
          <w:kern w:val="0"/>
          <w:sz w:val="24"/>
          <w:szCs w:val="24"/>
          <w14:ligatures w14:val="none"/>
        </w:rPr>
        <w:t xml:space="preserve"> Supreme Trucking Group maintains digital logs of every shipment for the mandated two-year period, ensuring you are always audit-ready.</w:t>
      </w:r>
    </w:p>
    <w:p w14:paraId="3B707270" w14:textId="77777777" w:rsidR="009C3D08" w:rsidRPr="009C3D08" w:rsidRDefault="009C3D08" w:rsidP="009C3D08">
      <w:pPr>
        <w:spacing w:after="0"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kern w:val="0"/>
          <w:sz w:val="24"/>
          <w:szCs w:val="24"/>
          <w14:ligatures w14:val="none"/>
        </w:rPr>
        <w:pict w14:anchorId="53B3EFF5">
          <v:rect id="_x0000_i1026" style="width:0;height:1.5pt" o:hralign="center" o:hrstd="t" o:hr="t" fillcolor="#a0a0a0" stroked="f"/>
        </w:pict>
      </w:r>
    </w:p>
    <w:p w14:paraId="63E2FE4A" w14:textId="4CEB5C72" w:rsidR="009C3D08" w:rsidRPr="009C3D08" w:rsidRDefault="009C3D08" w:rsidP="009C3D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3D08">
        <w:rPr>
          <w:rFonts w:ascii="Times New Roman" w:eastAsia="Times New Roman" w:hAnsi="Times New Roman" w:cs="Times New Roman"/>
          <w:b/>
          <w:bCs/>
          <w:kern w:val="0"/>
          <w:sz w:val="27"/>
          <w:szCs w:val="27"/>
          <w14:ligatures w14:val="none"/>
        </w:rPr>
        <w:t>Operational Excellence</w:t>
      </w:r>
    </w:p>
    <w:p w14:paraId="1642414A"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Featured Article: Beyond the Thermostat: Professional Reefers in 2026</w:t>
      </w:r>
    </w:p>
    <w:p w14:paraId="06CF76A6"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i/>
          <w:iCs/>
          <w:kern w:val="0"/>
          <w:sz w:val="24"/>
          <w:szCs w:val="24"/>
          <w14:ligatures w14:val="none"/>
        </w:rPr>
        <w:t>Modern cold chain logistics requires more than just a cold truck. It requires operational discipline.</w:t>
      </w:r>
    </w:p>
    <w:p w14:paraId="60076BB6" w14:textId="77777777" w:rsidR="009C3D08" w:rsidRPr="009C3D08" w:rsidRDefault="009C3D08" w:rsidP="009C3D0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Protect from Freeze (PFF):</w:t>
      </w:r>
      <w:r w:rsidRPr="009C3D08">
        <w:rPr>
          <w:rFonts w:ascii="Times New Roman" w:eastAsia="Times New Roman" w:hAnsi="Times New Roman" w:cs="Times New Roman"/>
          <w:kern w:val="0"/>
          <w:sz w:val="24"/>
          <w:szCs w:val="24"/>
          <w14:ligatures w14:val="none"/>
        </w:rPr>
        <w:t xml:space="preserve"> As we move through the winter of 2026, our specialized PFF protocols ensure that liquids and sensitive pharmaceuticals stay within a strict 33°F–40°F window.</w:t>
      </w:r>
    </w:p>
    <w:p w14:paraId="17BC01CE" w14:textId="77777777" w:rsidR="009C3D08" w:rsidRPr="009C3D08" w:rsidRDefault="009C3D08" w:rsidP="009C3D0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Airflow Science:</w:t>
      </w:r>
      <w:r w:rsidRPr="009C3D08">
        <w:rPr>
          <w:rFonts w:ascii="Times New Roman" w:eastAsia="Times New Roman" w:hAnsi="Times New Roman" w:cs="Times New Roman"/>
          <w:kern w:val="0"/>
          <w:sz w:val="24"/>
          <w:szCs w:val="24"/>
          <w14:ligatures w14:val="none"/>
        </w:rPr>
        <w:t xml:space="preserve"> We utilize high-spec flooring and specialized loading patterns to prevent "hot spots," ensuring the center of your pallet stays as cold as the perimeter.</w:t>
      </w:r>
    </w:p>
    <w:p w14:paraId="229E09C3" w14:textId="77777777" w:rsidR="009C3D08" w:rsidRPr="009C3D08" w:rsidRDefault="009C3D08" w:rsidP="009C3D0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The "Clean Trailer" Standard:</w:t>
      </w:r>
      <w:r w:rsidRPr="009C3D08">
        <w:rPr>
          <w:rFonts w:ascii="Times New Roman" w:eastAsia="Times New Roman" w:hAnsi="Times New Roman" w:cs="Times New Roman"/>
          <w:kern w:val="0"/>
          <w:sz w:val="24"/>
          <w:szCs w:val="24"/>
          <w14:ligatures w14:val="none"/>
        </w:rPr>
        <w:t xml:space="preserve"> Every Supreme Trucking Group trailer undergoes a multi-point sanitation check before a refrigerated LTL load is consolidated.</w:t>
      </w:r>
    </w:p>
    <w:p w14:paraId="23E95416" w14:textId="77777777" w:rsidR="009C3D08" w:rsidRPr="009C3D08" w:rsidRDefault="009C3D08" w:rsidP="009C3D08">
      <w:pPr>
        <w:spacing w:after="0"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kern w:val="0"/>
          <w:sz w:val="24"/>
          <w:szCs w:val="24"/>
          <w14:ligatures w14:val="none"/>
        </w:rPr>
        <w:pict w14:anchorId="390975E7">
          <v:rect id="_x0000_i1027" style="width:0;height:1.5pt" o:hralign="center" o:hrstd="t" o:hr="t" fillcolor="#a0a0a0" stroked="f"/>
        </w:pict>
      </w:r>
    </w:p>
    <w:p w14:paraId="494B8617" w14:textId="7C467028" w:rsidR="009C3D08" w:rsidRPr="009C3D08" w:rsidRDefault="009C3D08" w:rsidP="009C3D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3D08">
        <w:rPr>
          <w:rFonts w:ascii="Times New Roman" w:eastAsia="Times New Roman" w:hAnsi="Times New Roman" w:cs="Times New Roman"/>
          <w:b/>
          <w:bCs/>
          <w:kern w:val="0"/>
          <w:sz w:val="27"/>
          <w:szCs w:val="27"/>
          <w14:ligatures w14:val="none"/>
        </w:rPr>
        <w:t>Market Insights</w:t>
      </w:r>
    </w:p>
    <w:p w14:paraId="7163FFBD"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Featured Article: 2026 Refrigerated LTL Rate Forecast</w:t>
      </w:r>
    </w:p>
    <w:p w14:paraId="2456D845" w14:textId="77777777" w:rsidR="009C3D08" w:rsidRPr="009C3D08" w:rsidRDefault="009C3D08" w:rsidP="009C3D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i/>
          <w:iCs/>
          <w:kern w:val="0"/>
          <w:sz w:val="24"/>
          <w:szCs w:val="24"/>
          <w14:ligatures w14:val="none"/>
        </w:rPr>
        <w:t>The "Freight Recession" is ending, and capacity is tightening. Here is what Supreme Trucking Group is watching:</w:t>
      </w:r>
    </w:p>
    <w:p w14:paraId="32B3840B" w14:textId="77777777" w:rsidR="009C3D08" w:rsidRPr="009C3D08" w:rsidRDefault="009C3D08" w:rsidP="009C3D0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Fuel &amp; Reefer Surcharges:</w:t>
      </w:r>
      <w:r w:rsidRPr="009C3D08">
        <w:rPr>
          <w:rFonts w:ascii="Times New Roman" w:eastAsia="Times New Roman" w:hAnsi="Times New Roman" w:cs="Times New Roman"/>
          <w:kern w:val="0"/>
          <w:sz w:val="24"/>
          <w:szCs w:val="24"/>
          <w14:ligatures w14:val="none"/>
        </w:rPr>
        <w:t xml:space="preserve"> We provide transparent, weekly updates on reefer fuel costs so your landed cost never comes as a surprise.</w:t>
      </w:r>
    </w:p>
    <w:p w14:paraId="2BDD5D95" w14:textId="77777777" w:rsidR="009C3D08" w:rsidRPr="009C3D08" w:rsidRDefault="009C3D08" w:rsidP="009C3D0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Capacity Alerts:</w:t>
      </w:r>
      <w:r w:rsidRPr="009C3D08">
        <w:rPr>
          <w:rFonts w:ascii="Times New Roman" w:eastAsia="Times New Roman" w:hAnsi="Times New Roman" w:cs="Times New Roman"/>
          <w:kern w:val="0"/>
          <w:sz w:val="24"/>
          <w:szCs w:val="24"/>
          <w14:ligatures w14:val="none"/>
        </w:rPr>
        <w:t xml:space="preserve"> Nearshoring in Mexico is driving up demand for northbound reefer space. We recommend booking 72 hours in advance for key lanes.</w:t>
      </w:r>
    </w:p>
    <w:p w14:paraId="665BF0D2" w14:textId="77777777" w:rsidR="009C3D08" w:rsidRPr="009C3D08" w:rsidRDefault="009C3D08" w:rsidP="009C3D0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Regulatory Surcharges:</w:t>
      </w:r>
      <w:r w:rsidRPr="009C3D08">
        <w:rPr>
          <w:rFonts w:ascii="Times New Roman" w:eastAsia="Times New Roman" w:hAnsi="Times New Roman" w:cs="Times New Roman"/>
          <w:kern w:val="0"/>
          <w:sz w:val="24"/>
          <w:szCs w:val="24"/>
          <w14:ligatures w14:val="none"/>
        </w:rPr>
        <w:t xml:space="preserve"> We explain how new 2027 EPA equipment mandates are affecting current carrier equipment choices and long-term contract rates.</w:t>
      </w:r>
    </w:p>
    <w:p w14:paraId="7032A45E" w14:textId="77777777" w:rsidR="009C3D08" w:rsidRPr="009C3D08" w:rsidRDefault="009C3D08" w:rsidP="009C3D08">
      <w:pPr>
        <w:spacing w:after="0"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kern w:val="0"/>
          <w:sz w:val="24"/>
          <w:szCs w:val="24"/>
          <w14:ligatures w14:val="none"/>
        </w:rPr>
        <w:pict w14:anchorId="3AFCE7F9">
          <v:rect id="_x0000_i1028" style="width:0;height:1.5pt" o:hralign="center" o:hrstd="t" o:hr="t" fillcolor="#a0a0a0" stroked="f"/>
        </w:pict>
      </w:r>
    </w:p>
    <w:p w14:paraId="4EE11DE4" w14:textId="77777777" w:rsidR="009C3D08" w:rsidRPr="009C3D08" w:rsidRDefault="009C3D08" w:rsidP="009C3D08">
      <w:pPr>
        <w:spacing w:beforeAutospacing="1" w:after="100" w:afterAutospacing="1" w:line="240" w:lineRule="auto"/>
        <w:rPr>
          <w:rFonts w:ascii="Times New Roman" w:eastAsia="Times New Roman" w:hAnsi="Times New Roman" w:cs="Times New Roman"/>
          <w:kern w:val="0"/>
          <w:sz w:val="24"/>
          <w:szCs w:val="24"/>
          <w14:ligatures w14:val="none"/>
        </w:rPr>
      </w:pPr>
      <w:r w:rsidRPr="009C3D08">
        <w:rPr>
          <w:rFonts w:ascii="Times New Roman" w:eastAsia="Times New Roman" w:hAnsi="Times New Roman" w:cs="Times New Roman"/>
          <w:b/>
          <w:bCs/>
          <w:kern w:val="0"/>
          <w:sz w:val="24"/>
          <w:szCs w:val="24"/>
          <w14:ligatures w14:val="none"/>
        </w:rPr>
        <w:t>Is your current carrier ready for 2026?</w:t>
      </w:r>
      <w:r w:rsidRPr="009C3D08">
        <w:rPr>
          <w:rFonts w:ascii="Times New Roman" w:eastAsia="Times New Roman" w:hAnsi="Times New Roman" w:cs="Times New Roman"/>
          <w:kern w:val="0"/>
          <w:sz w:val="24"/>
          <w:szCs w:val="24"/>
          <w14:ligatures w14:val="none"/>
        </w:rPr>
        <w:t xml:space="preserve"> Don't wait for an audit to find out. Switch to the group that puts compliance and temperature integrity first. </w:t>
      </w:r>
      <w:r w:rsidRPr="009C3D08">
        <w:rPr>
          <w:rFonts w:ascii="Times New Roman" w:eastAsia="Times New Roman" w:hAnsi="Times New Roman" w:cs="Times New Roman"/>
          <w:b/>
          <w:bCs/>
          <w:kern w:val="0"/>
          <w:sz w:val="24"/>
          <w:szCs w:val="24"/>
          <w14:ligatures w14:val="none"/>
        </w:rPr>
        <w:t>[Request a Quote from Supreme Trucking Group]</w:t>
      </w:r>
    </w:p>
    <w:p w14:paraId="228BFDF3" w14:textId="77777777" w:rsidR="00907243" w:rsidRDefault="00907243"/>
    <w:sectPr w:rsidR="00907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E4041"/>
    <w:multiLevelType w:val="multilevel"/>
    <w:tmpl w:val="60D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A37B9"/>
    <w:multiLevelType w:val="multilevel"/>
    <w:tmpl w:val="D65E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66558"/>
    <w:multiLevelType w:val="multilevel"/>
    <w:tmpl w:val="457C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440E6"/>
    <w:multiLevelType w:val="multilevel"/>
    <w:tmpl w:val="CDD6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53D90"/>
    <w:multiLevelType w:val="multilevel"/>
    <w:tmpl w:val="F84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C7031"/>
    <w:multiLevelType w:val="multilevel"/>
    <w:tmpl w:val="A6C6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D08"/>
    <w:rsid w:val="00360AC3"/>
    <w:rsid w:val="00907243"/>
    <w:rsid w:val="009C3D08"/>
    <w:rsid w:val="00C22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56D66"/>
  <w15:chartTrackingRefBased/>
  <w15:docId w15:val="{1B4EC723-9B8A-4840-85CB-1B9996DBD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C3D0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9C3D0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D08"/>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9C3D0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9C3D0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32">
    <w:name w:val="citation-32"/>
    <w:basedOn w:val="DefaultParagraphFont"/>
    <w:rsid w:val="009C3D08"/>
  </w:style>
  <w:style w:type="character" w:customStyle="1" w:styleId="citation-31">
    <w:name w:val="citation-31"/>
    <w:basedOn w:val="DefaultParagraphFont"/>
    <w:rsid w:val="009C3D08"/>
  </w:style>
  <w:style w:type="character" w:customStyle="1" w:styleId="button-label">
    <w:name w:val="button-label"/>
    <w:basedOn w:val="DefaultParagraphFont"/>
    <w:rsid w:val="009C3D08"/>
  </w:style>
  <w:style w:type="character" w:customStyle="1" w:styleId="citation-30">
    <w:name w:val="citation-30"/>
    <w:basedOn w:val="DefaultParagraphFont"/>
    <w:rsid w:val="009C3D08"/>
  </w:style>
  <w:style w:type="character" w:customStyle="1" w:styleId="citation-29">
    <w:name w:val="citation-29"/>
    <w:basedOn w:val="DefaultParagraphFont"/>
    <w:rsid w:val="009C3D08"/>
  </w:style>
  <w:style w:type="character" w:customStyle="1" w:styleId="citation-28">
    <w:name w:val="citation-28"/>
    <w:basedOn w:val="DefaultParagraphFont"/>
    <w:rsid w:val="009C3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314586">
      <w:bodyDiv w:val="1"/>
      <w:marLeft w:val="0"/>
      <w:marRight w:val="0"/>
      <w:marTop w:val="0"/>
      <w:marBottom w:val="0"/>
      <w:divBdr>
        <w:top w:val="none" w:sz="0" w:space="0" w:color="auto"/>
        <w:left w:val="none" w:sz="0" w:space="0" w:color="auto"/>
        <w:bottom w:val="none" w:sz="0" w:space="0" w:color="auto"/>
        <w:right w:val="none" w:sz="0" w:space="0" w:color="auto"/>
      </w:divBdr>
      <w:divsChild>
        <w:div w:id="139424056">
          <w:blockQuote w:val="1"/>
          <w:marLeft w:val="720"/>
          <w:marRight w:val="720"/>
          <w:marTop w:val="100"/>
          <w:marBottom w:val="100"/>
          <w:divBdr>
            <w:top w:val="none" w:sz="0" w:space="0" w:color="auto"/>
            <w:left w:val="none" w:sz="0" w:space="0" w:color="auto"/>
            <w:bottom w:val="none" w:sz="0" w:space="0" w:color="auto"/>
            <w:right w:val="none" w:sz="0" w:space="0" w:color="auto"/>
          </w:divBdr>
        </w:div>
        <w:div w:id="660353239">
          <w:marLeft w:val="0"/>
          <w:marRight w:val="0"/>
          <w:marTop w:val="0"/>
          <w:marBottom w:val="0"/>
          <w:divBdr>
            <w:top w:val="none" w:sz="0" w:space="0" w:color="auto"/>
            <w:left w:val="none" w:sz="0" w:space="0" w:color="auto"/>
            <w:bottom w:val="none" w:sz="0" w:space="0" w:color="auto"/>
            <w:right w:val="none" w:sz="0" w:space="0" w:color="auto"/>
          </w:divBdr>
        </w:div>
        <w:div w:id="145687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Kombu ka</dc:creator>
  <cp:keywords/>
  <dc:description/>
  <cp:lastModifiedBy>Kombu ka</cp:lastModifiedBy>
  <cp:revision>1</cp:revision>
  <dcterms:created xsi:type="dcterms:W3CDTF">2026-01-20T17:39:00Z</dcterms:created>
  <dcterms:modified xsi:type="dcterms:W3CDTF">2026-01-20T17:44:00Z</dcterms:modified>
</cp:coreProperties>
</file>