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pStyle w:val="Heading1"/>
      </w:pPr>
      <w:r>
        <w:t>Abstract</w:t>
      </w:r>
    </w:p>
    <w:p>
      <w:pPr>
        <w:spacing w:after="120"/>
      </w:pPr>
      <w:r>
        <w:rPr>
          <w:i w:val="0"/>
        </w:rPr>
        <w:t>This report describes Nous, a dependency-free Python prototype of a memory-and-activation substrate for a cognitive architecture, and — more centrally —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 and on clustered real input the end-to-end slice produces an incoherent “thought,” recorded as an asserted negative result / known limitation, not a contribution. The central finding is a recurring failure mode — a component that passes on a friendly, hand-chosen input and fails on an adversarial or system-generated one —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 graph memories, spreading activation, clustering into “coalitions” —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 determinism verified across process hash seeds, and read-purity verified by hammering reads —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The four diagrams are in Appendix C.</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 no embeddings —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pStyle w:val="Heading1"/>
      </w:pPr>
      <w:r>
        <w:t>4. Methodology</w:t>
      </w:r>
    </w:p>
    <w:p>
      <w:pPr>
        <w:spacing w:after="120"/>
      </w:pPr>
      <w:r>
        <w:rPr>
          <w:i w:val="0"/>
        </w:rPr>
        <w:t>The thesis is that the test process — not the prototype —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pStyle w:val="Heading1"/>
      </w:pPr>
      <w:r>
        <w:t>6. The six structural findings</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 order randomized per process by PYTHONHASHSEED —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 assert purity, determinism, and “no double-count” directly and across processes, not by spot-checking outputs.</w:t>
      </w:r>
    </w:p>
    <w:p>
      <w:pPr>
        <w:pStyle w:val="ListNumber"/>
        <w:spacing w:after="60"/>
      </w:pPr>
      <w:r>
        <w:t>Randomize what you assume is fixed — running under multiple PYTHONHASHSEED values is what makes uuid-set nondeterminism observable.</w:t>
      </w:r>
    </w:p>
    <w:p>
      <w:pPr>
        <w:pStyle w:val="ListNumber"/>
        <w:spacing w:after="60"/>
      </w:pPr>
      <w:r>
        <w:t>Close the loop — let a stage’s inputs be produced by the stage below it; hand-chosen inputs hide both degeneracy and circularity.</w:t>
      </w:r>
    </w:p>
    <w:p>
      <w:pPr>
        <w:pStyle w:val="ListNumber"/>
        <w:spacing w:after="60"/>
      </w:pPr>
      <w:r>
        <w:t>Encode known limitations as asserted tests —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 the code does exactly and only what it says, reproducibly — not that the mechanism reproduces any cognitive phenomenon.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120"/>
      </w:pPr>
      <w:r>
        <w:rPr>
          <w:i/>
        </w:rPr>
        <w:t>Note to the author: this list is curated and the bibliographic details are believed correct, but verify exact page numbers, volumes, and DOIs against the primary sources before submission.</w:t>
      </w:r>
    </w:p>
    <w:p>
      <w:pPr>
        <w:spacing w:after="80"/>
      </w:pPr>
      <w:r>
        <w:t>[1] McClelland, J. L., McNaughton, B. L., &amp; O’Reilly, R. C. (1995). Why there are complementary learning systems in the hippocampus and neocortex. Psychological Review, 102(3), 419–457.</w:t>
      </w:r>
    </w:p>
    <w:p>
      <w:pPr>
        <w:spacing w:after="80"/>
      </w:pPr>
      <w:r>
        <w:t>[2] Kumaran, D., Hassabis, D., &amp; McClelland, J. L. (2016). What learning systems do intelligent agents need? Complementary Learning Systems theory updated. Trends in Cognitive Sciences, 20(7), 512–534.</w:t>
      </w:r>
    </w:p>
    <w:p>
      <w:pPr>
        <w:spacing w:after="80"/>
      </w:pPr>
      <w:r>
        <w:t>[3] Frey, U., &amp; Morris, R. G. M. (1997). Synaptic tagging and long-term potentiation. Nature, 385, 533–536.</w:t>
      </w:r>
    </w:p>
    <w:p>
      <w:pPr>
        <w:spacing w:after="80"/>
      </w:pPr>
      <w:r>
        <w:t>[4] Redondo, R. L., &amp; Morris, R. G. M. (2011). Making memories last: the synaptic tagging and capture hypothesis. Nature Reviews Neuroscience, 12, 17–30.</w:t>
      </w:r>
    </w:p>
    <w:p>
      <w:pPr>
        <w:spacing w:after="80"/>
      </w:pPr>
      <w:r>
        <w:t>[5] Baars, B. J. (1988). A Cognitive Theory of Consciousness. Cambridge University Press.</w:t>
      </w:r>
    </w:p>
    <w:p>
      <w:pPr>
        <w:spacing w:after="80"/>
      </w:pPr>
      <w:r>
        <w:t>[6] Dehaene, S., &amp; Changeux, J.-P. (2011). Experimental and theoretical approaches to conscious processing. Neuron, 70(2), 200–227.</w:t>
      </w:r>
    </w:p>
    <w:p>
      <w:pPr>
        <w:spacing w:after="80"/>
      </w:pPr>
      <w:r>
        <w:t>[7] Franklin, S., Madl, T., D’Mello, S., &amp; Snaider, J. (2014). LIDA: A systems-level architecture for cognition, emotion, and learning. IEEE Transactions on Autonomous Mental Development, 6(1), 19–41.</w:t>
      </w:r>
    </w:p>
    <w:p>
      <w:pPr>
        <w:spacing w:after="80"/>
      </w:pPr>
      <w:r>
        <w:t>[8] Anderson, J. R., Bothell, D., Byrne, M. D., Douglass, S., Lebiere, C., &amp; Qin, Y. (2004). An integrated theory of the mind. Psychological Review, 111(4), 1036–1060.</w:t>
      </w:r>
    </w:p>
    <w:p>
      <w:pPr>
        <w:spacing w:after="80"/>
      </w:pPr>
      <w:r>
        <w:t>[9] Eliasmith, C., Stewart, T. C., Choo, X., Bekolay, T., DeWolf, T., Tang, Y., &amp; Rasmussen, D. (2012). A large-scale model of the functioning brain. Science, 338(6111), 1202–1205.</w:t>
      </w:r>
    </w:p>
    <w:p>
      <w:pPr>
        <w:spacing w:after="80"/>
      </w:pPr>
      <w:r>
        <w:t>[10] Collins, A. M., &amp; Loftus, E. F. (1975). A spreading-activation theory of semantic processing. Psychological Review, 82(6), 407–428.</w:t>
      </w:r>
    </w:p>
    <w:p>
      <w:pPr>
        <w:spacing w:after="80"/>
      </w:pPr>
      <w:r>
        <w:t>[11] Meyer, D. E., &amp; Schvaneveldt, R. W. (1971). Facilitation in recognizing pairs of words. Journal of Experimental Psychology, 90(2), 227–234.</w:t>
      </w:r>
    </w:p>
    <w:p>
      <w:pPr>
        <w:spacing w:after="80"/>
      </w:pPr>
      <w:r>
        <w:t>[12] Yerkes, R. M., &amp; Dodson, J. D. (1908). The relation of strength of stimulus to rapidity of habit-formation. Journal of Comparative Neurology and Psychology, 18(5), 459–482.</w:t>
      </w:r>
    </w:p>
    <w:p>
      <w:r>
        <w:br w:type="page"/>
      </w:r>
    </w:p>
    <w:p>
      <w:pPr>
        <w:pStyle w:val="Heading1"/>
      </w:pPr>
      <w:r>
        <w:t>Appendix A —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 Diagrams</w:t>
      </w:r>
    </w:p>
    <w:p>
      <w:pPr>
        <w:spacing w:after="120"/>
      </w:pPr>
      <w:r>
        <w:rPr>
          <w:i w:val="0"/>
        </w:rPr>
        <w:t>Rendered from the Mermaid sources in docs/diagrams/.</w:t>
      </w:r>
    </w:p>
    <w:p>
      <w:pPr>
        <w:jc w:val="center"/>
      </w:pPr>
      <w:r>
        <w:drawing>
          <wp:inline xmlns:a="http://schemas.openxmlformats.org/drawingml/2006/main" xmlns:pic="http://schemas.openxmlformats.org/drawingml/2006/picture">
            <wp:extent cx="3017520" cy="5129784"/>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3017520" cy="5129784"/>
                    </a:xfrm>
                    <a:prstGeom prst="rect"/>
                  </pic:spPr>
                </pic:pic>
              </a:graphicData>
            </a:graphic>
          </wp:inline>
        </w:drawing>
      </w:r>
    </w:p>
    <w:p>
      <w:pPr>
        <w:spacing w:after="120"/>
        <w:jc w:val="center"/>
      </w:pPr>
      <w:r>
        <w:rPr>
          <w:i/>
          <w:sz w:val="18"/>
        </w:rPr>
        <w:t>Figure 1 — End-to-end “thought” slice (pipeline.mmd). Substrate store and spreading activation are proven; the field, coalitions, and the final “thought” step are exploratory, and “strongest coalition = thought” is a placeholder for an unbuilt broadcast phase.</w:t>
      </w:r>
    </w:p>
    <w:p>
      <w:pPr>
        <w:jc w:val="center"/>
      </w:pPr>
      <w:r>
        <w:drawing>
          <wp:inline xmlns:a="http://schemas.openxmlformats.org/drawingml/2006/main" xmlns:pic="http://schemas.openxmlformats.org/drawingml/2006/picture">
            <wp:extent cx="1920240" cy="6748272"/>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1920240" cy="6748272"/>
                    </a:xfrm>
                    <a:prstGeom prst="rect"/>
                  </pic:spPr>
                </pic:pic>
              </a:graphicData>
            </a:graphic>
          </wp:inline>
        </w:drawing>
      </w:r>
    </w:p>
    <w:p>
      <w:pPr>
        <w:spacing w:after="120"/>
        <w:jc w:val="center"/>
      </w:pPr>
      <w:r>
        <w:rPr>
          <w:i/>
          <w:sz w:val="18"/>
        </w:rPr>
        <w:t>Figure 2 — Substrate data model (data_model.mmd). A Node is always neutral; emotion lives on Road.charges. Identity is the uuid4 id; ordering is the separate creation_seq.</w:t>
      </w:r>
    </w:p>
    <w:p>
      <w:pPr>
        <w:jc w:val="center"/>
      </w:pPr>
      <w:r>
        <w:drawing>
          <wp:inline xmlns:a="http://schemas.openxmlformats.org/drawingml/2006/main" xmlns:pic="http://schemas.openxmlformats.org/drawingml/2006/picture">
            <wp:extent cx="914400" cy="6897757"/>
            <wp:docPr id="3" name="Picture 3"/>
            <wp:cNvGraphicFramePr>
              <a:graphicFrameLocks noChangeAspect="1"/>
            </wp:cNvGraphicFramePr>
            <a:graphic>
              <a:graphicData uri="http://schemas.openxmlformats.org/drawingml/2006/picture">
                <pic:pic>
                  <pic:nvPicPr>
                    <pic:cNvPr id="0" name="cognitive_evolution.png"/>
                    <pic:cNvPicPr/>
                  </pic:nvPicPr>
                  <pic:blipFill>
                    <a:blip r:embed="rId11"/>
                    <a:stretch>
                      <a:fillRect/>
                    </a:stretch>
                  </pic:blipFill>
                  <pic:spPr>
                    <a:xfrm>
                      <a:off x="0" y="0"/>
                      <a:ext cx="914400" cy="6897757"/>
                    </a:xfrm>
                    <a:prstGeom prst="rect"/>
                  </pic:spPr>
                </pic:pic>
              </a:graphicData>
            </a:graphic>
          </wp:inline>
        </w:drawing>
      </w:r>
    </w:p>
    <w:p>
      <w:pPr>
        <w:spacing w:after="120"/>
        <w:jc w:val="center"/>
      </w:pPr>
      <w:r>
        <w:rPr>
          <w:i/>
          <w:sz w:val="18"/>
        </w:rPr>
        <w:t>Figure 3 — Cognitive-layer evolution and dead-ends (cognitive_evolution.mmd): connectivity binding → flow-cut → multi-source field → closed-loop, and what each step revealed (findings e, f).</w:t>
      </w:r>
    </w:p>
    <w:p>
      <w:pPr>
        <w:jc w:val="center"/>
      </w:pPr>
      <w:r>
        <w:drawing>
          <wp:inline xmlns:a="http://schemas.openxmlformats.org/drawingml/2006/main" xmlns:pic="http://schemas.openxmlformats.org/drawingml/2006/picture">
            <wp:extent cx="3017520" cy="4546397"/>
            <wp:docPr id="4" name="Picture 4"/>
            <wp:cNvGraphicFramePr>
              <a:graphicFrameLocks noChangeAspect="1"/>
            </wp:cNvGraphicFramePr>
            <a:graphic>
              <a:graphicData uri="http://schemas.openxmlformats.org/drawingml/2006/picture">
                <pic:pic>
                  <pic:nvPicPr>
                    <pic:cNvPr id="0" name="substrate_read_write.png"/>
                    <pic:cNvPicPr/>
                  </pic:nvPicPr>
                  <pic:blipFill>
                    <a:blip r:embed="rId12"/>
                    <a:stretch>
                      <a:fillRect/>
                    </a:stretch>
                  </pic:blipFill>
                  <pic:spPr>
                    <a:xfrm>
                      <a:off x="0" y="0"/>
                      <a:ext cx="3017520" cy="4546397"/>
                    </a:xfrm>
                    <a:prstGeom prst="rect"/>
                  </pic:spPr>
                </pic:pic>
              </a:graphicData>
            </a:graphic>
          </wp:inline>
        </w:drawing>
      </w:r>
    </w:p>
    <w:p>
      <w:pPr>
        <w:spacing w:after="120"/>
        <w:jc w:val="center"/>
      </w:pPr>
      <w:r>
        <w:rPr>
          <w:i/>
          <w:sz w:val="18"/>
        </w:rPr>
        <w:t>Figure 4 — Substrate read vs. write paths (substrate_read_write.mmd). Reads are pure (decay computed as a view); only writes persist decay, and closure is re-evaluated only on an active crossing (finding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