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CS 455 / CS 555 - Project Proposal</w:t>
      </w:r>
    </w:p>
    <w:p>
      <w:pPr>
        <w:jc w:val="center"/>
      </w:pPr>
      <w:r>
        <w:rPr>
          <w:i/>
          <w:sz w:val="20"/>
        </w:rPr>
        <w:t>Large Language Models - Spring 2025/2026</w:t>
      </w:r>
    </w:p>
    <w:p>
      <w:pPr>
        <w:pStyle w:val="Heading1"/>
      </w:pPr>
      <w:r>
        <w:t>Section 1 - Group Members</w:t>
      </w:r>
    </w:p>
    <w:p>
      <w:r>
        <w:rPr/>
        <w:t>Name_Surname_of_student1, StudentID_of_student1</w:t>
        <w:br/>
        <w:t>Name_Surname_of_student2, StudentID_of_student2</w:t>
      </w:r>
    </w:p>
    <w:p>
      <w:r>
        <w:rPr>
          <w:i/>
        </w:rPr>
        <w:t>Optional third member: Name_Surname_of_student3, StudentID_of_student3</w:t>
      </w:r>
    </w:p>
    <w:p>
      <w:pPr>
        <w:pStyle w:val="Heading1"/>
      </w:pPr>
      <w:r>
        <w:t>Section 2 - Track</w:t>
      </w:r>
    </w:p>
    <w:p>
      <w:r>
        <w:rPr>
          <w:b/>
        </w:rPr>
        <w:t xml:space="preserve">Our track: </w:t>
      </w:r>
      <w:r>
        <w:t>CS 455 Project</w:t>
      </w:r>
    </w:p>
    <w:p>
      <w:r>
        <w:t>We are not applying for the Paper Track. The project is designed as a standard CS 455 system-building and evaluation project with a working demo, reproducible code, and clear experimental results.</w:t>
      </w:r>
    </w:p>
    <w:p>
      <w:pPr>
        <w:pStyle w:val="Heading1"/>
      </w:pPr>
      <w:r>
        <w:t>Section 3 - Project Proposal</w:t>
      </w:r>
    </w:p>
    <w:p>
      <w:pPr>
        <w:pStyle w:val="Heading2"/>
      </w:pPr>
      <w:r>
        <w:t>3.1 Project Title</w:t>
      </w:r>
    </w:p>
    <w:p>
      <w:r>
        <w:t>Automated Risk Profiling of Public Companies Using Multi-Document RAG</w:t>
      </w:r>
    </w:p>
    <w:p>
      <w:pPr>
        <w:pStyle w:val="Heading2"/>
      </w:pPr>
      <w:r>
        <w:t>3.2 Project Category</w:t>
      </w:r>
    </w:p>
    <w:p>
      <w:r>
        <w:rPr>
          <w:b/>
        </w:rPr>
        <w:t xml:space="preserve">(A) Application / System Building </w:t>
      </w:r>
      <w:r>
        <w:t xml:space="preserve">+ </w:t>
      </w:r>
      <w:r>
        <w:rPr>
          <w:b/>
        </w:rPr>
        <w:t xml:space="preserve">(C) Evaluation / Analysis. </w:t>
      </w:r>
      <w:r>
        <w:t>The project builds a working LLM-based financial document intelligence system and evaluates retrieval quality, structured risk extraction, and evidence support.</w:t>
      </w:r>
    </w:p>
    <w:p>
      <w:pPr>
        <w:pStyle w:val="Heading2"/>
      </w:pPr>
      <w:r>
        <w:t>3.3 Problem Definition</w:t>
      </w:r>
    </w:p>
    <w:p>
      <w:r>
        <w:t>Public companies publish long annual Form 10-K reports that contain detailed risk disclosures, especially in the Item 1A Risk Factors section. These documents are useful for analysts and investors, but they are time-consuming to read manually and difficult to compare across companies. This project tackles the problem of automatically extracting and comparing company-level risk profiles from multiple 10-K reports. The system takes public company filings as input, retrieves evidence from risk-related sections, maps the evidence into a predefined financial risk taxonomy, and produces structured outputs containing risk categories, severity labels, explanations, and source snippets. Success means that the system can create evidence-backed risk profiles and company comparisons without behaving like a generic PDF chatbot.</w:t>
      </w:r>
    </w:p>
    <w:p>
      <w:pPr>
        <w:pStyle w:val="Heading2"/>
      </w:pPr>
      <w:r>
        <w:t>3.4 Motivation</w:t>
      </w:r>
    </w:p>
    <w:p>
      <w:r>
        <w:t>Financial professionals often need to compare companies across risk dimensions such as supply chain exposure, regulatory pressure, competition, cybersecurity, demand uncertainty, and macroeconomic sensitivity. Generic chatbots can answer questions over documents, but they often do not produce reusable structured outputs, explicit evidence, or measurable risk profiles. A risk intelligence system can support equity research, portfolio analysis, and due diligence by reducing manual reading time while keeping answers grounded in official company filings. The project is also interesting from an LLM perspective because it combines retrieval-augmented generation, structured prompting, metadata-aware retrieval, evidence attribution, and systematic evaluation.</w:t>
      </w:r>
    </w:p>
    <w:p>
      <w:pPr>
        <w:pStyle w:val="Heading2"/>
      </w:pPr>
      <w:r>
        <w:t>3.5 Approach</w:t>
      </w:r>
    </w:p>
    <w:p>
      <w:r>
        <w:t>The system will use a multi-document RAG pipeline over public Form 10-K reports. First, we will collect annual reports for selected companies and extract the Item 1A Risk Factors section. The extracted text will be split into overlapping chunks, and each chunk will be stored with metadata such as company name, year, section name, and chunk identifier. We will embed the chunks using a sentence-transformer model such as all-MiniLM-L6-v2 or BAAI/bge-small-en-v1.5 and index them with FAISS for semantic retrieval. For each risk category, the system will automatically issue category-specific retrieval queries, retrieve the most relevant evidence chunks, and optionally rerank them using a cross-encoder reranker.</w:t>
      </w:r>
    </w:p>
    <w:p>
      <w:r>
        <w:t>The generation component will use an instruction-tuned LLM such as Qwen2.5-3B-Instruct or Llama-3.2-3B-Instruct. The LLM will not receive the full report; it will only receive retrieved evidence chunks and a strict JSON schema. For every company and risk category, it will output whether the risk is present, a low/medium/high severity estimate, a short explanation, supporting evidence snippets, and a confidence level. These outputs will be aggregated into a company-level risk profile. A Streamlit dashboard will display risk heatmaps, extracted top risks, evidence snippets, and pairwise company comparisons. A follow-up question interface may be added as a secondary feature, but the core contribution is automated risk profiling rather than chat.</w:t>
      </w:r>
    </w:p>
    <w:tbl>
      <w:tblPr>
        <w:tblStyle w:val="TableGrid"/>
        <w:tblW w:type="auto" w:w="0"/>
        <w:jc w:val="center"/>
        <w:tblLook w:firstColumn="1" w:firstRow="1" w:lastColumn="0" w:lastRow="0" w:noHBand="0" w:noVBand="1" w:val="04A0"/>
      </w:tblPr>
      <w:tblGrid>
        <w:gridCol w:w="5083"/>
        <w:gridCol w:w="5083"/>
      </w:tblGrid>
      <w:tr>
        <w:tc>
          <w:tcPr>
            <w:tcW w:type="dxa" w:w="5083"/>
            <w:vAlign w:val="top"/>
            <w:tcBorders>
              <w:top w:sz="4" w:val="single" w:color="BFBFBF"/>
              <w:left w:sz="4" w:val="single" w:color="BFBFBF"/>
              <w:bottom w:sz="4" w:val="single" w:color="BFBFBF"/>
              <w:right w:sz="4" w:val="single" w:color="BFBFBF"/>
            </w:tcBorders>
            <w:shd w:fill="D9EAF7"/>
          </w:tcPr>
          <w:p>
            <w:pPr>
              <w:spacing w:after="0"/>
            </w:pPr>
            <w:r>
              <w:rPr>
                <w:b/>
                <w:sz w:val="18"/>
              </w:rPr>
              <w:t>Pipeline Stage</w:t>
            </w:r>
          </w:p>
        </w:tc>
        <w:tc>
          <w:tcPr>
            <w:tcW w:type="dxa" w:w="5083"/>
            <w:vAlign w:val="top"/>
            <w:tcBorders>
              <w:top w:sz="4" w:val="single" w:color="BFBFBF"/>
              <w:left w:sz="4" w:val="single" w:color="BFBFBF"/>
              <w:bottom w:sz="4" w:val="single" w:color="BFBFBF"/>
              <w:right w:sz="4" w:val="single" w:color="BFBFBF"/>
            </w:tcBorders>
            <w:shd w:fill="D9EAF7"/>
          </w:tcPr>
          <w:p>
            <w:pPr>
              <w:spacing w:after="0"/>
            </w:pPr>
            <w:r>
              <w:rPr>
                <w:b/>
                <w:sz w:val="18"/>
              </w:rPr>
              <w:t>Output</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10-K collection</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Official annual reports from SEC EDGAR or company investor relations pages</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Section extraction</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Item 1A Risk Factors text for each company</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Chunking + metadata</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Overlapping text chunks with company, year, section, and chunk ID</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Embedding + FAISS</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Vector index for semantic evidence retrieval</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Risk taxonomy queries</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Top-k evidence chunks per risk category and company</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LLM structured extraction</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JSON risk profile with severity, explanation, evidence, and confidence</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Dashboard + comparison</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Risk heatmap, top risks, evidence explorer, and company comparison</w:t>
            </w:r>
          </w:p>
        </w:tc>
      </w:tr>
    </w:tbl>
    <w:p>
      <w:pPr>
        <w:pStyle w:val="Heading2"/>
      </w:pPr>
      <w:r>
        <w:t>3.6 Data</w:t>
      </w:r>
    </w:p>
    <w:p>
      <w:r>
        <w:t>We will use publicly available annual Form 10-K reports of large U.S. public companies, obtained from SEC EDGAR and/or official investor relations pages. The initial dataset will include 5-6 companies such as Apple, Microsoft, Tesla, NVIDIA, Amazon, and AMD. The main language will be English. We will focus primarily on Item 1A Risk Factors, because it contains standardized risk disclosures across companies. If time permits, we will also include Item 7 Management Discussion and Analysis and Item 7A Market Risk. No private or institutional data will be used. Since the documents are public regulatory filings, the legal and ethical risk is low; nevertheless, the final report will document the source URLs, preprocessing steps, and any filtering decisions.</w:t>
      </w:r>
    </w:p>
    <w:p>
      <w:pPr>
        <w:pStyle w:val="Heading2"/>
      </w:pPr>
      <w:r>
        <w:t>3.7 Evaluation Plan</w:t>
      </w:r>
    </w:p>
    <w:p>
      <w:r>
        <w:t>The evaluation will measure both retrieval quality and risk extraction quality. For retrieval, we will manually create approximately 50 company-risk queries and annotate the correct supporting chunks or sections. We will compute Recall@5, MRR, and nDCG@5 to test whether the system retrieves relevant evidence. For structured risk extraction, we will manually label a smaller set of chunks or company-risk pairs with expected risk categories and compare the model output using accuracy and macro-F1. For faithfulness, we will use a 0-2 rubric: 2 = fully supported by retrieved evidence, 1 = partially supported, 0 = unsupported or hallucinated. We will compare at least two baselines: keyword search and embedding-based FAISS retrieval. If time permits, we will add an embedding + reranker variant as an ablation.</w:t>
      </w:r>
    </w:p>
    <w:p>
      <w:pPr>
        <w:pStyle w:val="Heading2"/>
      </w:pPr>
      <w:r>
        <w:t>3.8 Timeline</w:t>
      </w:r>
    </w:p>
    <w:tbl>
      <w:tblPr>
        <w:tblStyle w:val="TableGrid"/>
        <w:tblW w:type="auto" w:w="0"/>
        <w:jc w:val="center"/>
        <w:tblLook w:firstColumn="1" w:firstRow="1" w:lastColumn="0" w:lastRow="0" w:noHBand="0" w:noVBand="1" w:val="04A0"/>
      </w:tblPr>
      <w:tblGrid>
        <w:gridCol w:w="5083"/>
        <w:gridCol w:w="5083"/>
      </w:tblGrid>
      <w:tr>
        <w:tc>
          <w:tcPr>
            <w:tcW w:type="dxa" w:w="5083"/>
            <w:vAlign w:val="top"/>
            <w:tcBorders>
              <w:top w:sz="4" w:val="single" w:color="BFBFBF"/>
              <w:left w:sz="4" w:val="single" w:color="BFBFBF"/>
              <w:bottom w:sz="4" w:val="single" w:color="BFBFBF"/>
              <w:right w:sz="4" w:val="single" w:color="BFBFBF"/>
            </w:tcBorders>
            <w:shd w:fill="D9EAF7"/>
          </w:tcPr>
          <w:p>
            <w:pPr>
              <w:spacing w:after="0"/>
            </w:pPr>
            <w:r>
              <w:rPr>
                <w:b/>
                <w:sz w:val="18"/>
              </w:rPr>
              <w:t>Week / Dates</w:t>
            </w:r>
          </w:p>
        </w:tc>
        <w:tc>
          <w:tcPr>
            <w:tcW w:type="dxa" w:w="5083"/>
            <w:vAlign w:val="top"/>
            <w:tcBorders>
              <w:top w:sz="4" w:val="single" w:color="BFBFBF"/>
              <w:left w:sz="4" w:val="single" w:color="BFBFBF"/>
              <w:bottom w:sz="4" w:val="single" w:color="BFBFBF"/>
              <w:right w:sz="4" w:val="single" w:color="BFBFBF"/>
            </w:tcBorders>
            <w:shd w:fill="D9EAF7"/>
          </w:tcPr>
          <w:p>
            <w:pPr>
              <w:spacing w:after="0"/>
            </w:pPr>
            <w:r>
              <w:rPr>
                <w:b/>
                <w:sz w:val="18"/>
              </w:rPr>
              <w:t>Planned Milestones / Deliverables</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Week 1 (now - May 10)</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Finalize scope and risk taxonomy; collect 5-6 10-K reports; extract Item 1A Risk Factors; prepare proposal and repository structure.</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Week 2 (May 11 - May 17)</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Implement text extraction, section filtering, chunking, metadata schema, embedding generation, and FAISS index; test basic retrieval.</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Week 3 (May 18 - May 24)</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Design prompts and JSON schema; implement LLM-based structured risk extraction; generate first company-level risk profiles.</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Week 4 (May 25 - May 31)</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Build company comparison module and Streamlit dashboard; add evidence explorer and risk heatmap; prepare annotation set for evaluation.</w:t>
            </w:r>
          </w:p>
        </w:tc>
      </w:tr>
      <w:tr>
        <w:tc>
          <w:tcPr>
            <w:tcW w:type="dxa" w:w="5083"/>
            <w:vAlign w:val="top"/>
            <w:tcBorders>
              <w:top w:sz="4" w:val="single" w:color="BFBFBF"/>
              <w:left w:sz="4" w:val="single" w:color="BFBFBF"/>
              <w:bottom w:sz="4" w:val="single" w:color="BFBFBF"/>
              <w:right w:sz="4" w:val="single" w:color="BFBFBF"/>
            </w:tcBorders>
          </w:tcPr>
          <w:p>
            <w:pPr>
              <w:spacing w:after="0"/>
            </w:pPr>
            <w:r>
              <w:rPr>
                <w:sz w:val="18"/>
              </w:rPr>
              <w:t>Week 5 (June 1 - June 7)</w:t>
            </w:r>
          </w:p>
        </w:tc>
        <w:tc>
          <w:tcPr>
            <w:tcW w:type="dxa" w:w="5083"/>
            <w:vAlign w:val="top"/>
            <w:tcBorders>
              <w:top w:sz="4" w:val="single" w:color="BFBFBF"/>
              <w:left w:sz="4" w:val="single" w:color="BFBFBF"/>
              <w:bottom w:sz="4" w:val="single" w:color="BFBFBF"/>
              <w:right w:sz="4" w:val="single" w:color="BFBFBF"/>
            </w:tcBorders>
          </w:tcPr>
          <w:p>
            <w:pPr>
              <w:spacing w:after="0"/>
            </w:pPr>
            <w:r>
              <w:rPr>
                <w:sz w:val="18"/>
              </w:rPr>
              <w:t>Run retrieval and extraction evaluation; compare keyword vs embedding retrieval; perform error analysis; finalize report, README, code cleanup, and demo screenshots.</w:t>
            </w:r>
          </w:p>
        </w:tc>
      </w:tr>
    </w:tbl>
    <w:p>
      <w:r>
        <w:br w:type="page"/>
      </w:r>
    </w:p>
    <w:p>
      <w:pPr>
        <w:pStyle w:val="Heading2"/>
      </w:pPr>
      <w:r>
        <w:t>3.9 Risks and Contingency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tcBorders>
              <w:top w:sz="4" w:val="single" w:color="BFBFBF"/>
              <w:left w:sz="4" w:val="single" w:color="BFBFBF"/>
              <w:bottom w:sz="4" w:val="single" w:color="BFBFBF"/>
              <w:right w:sz="4" w:val="single" w:color="BFBFBF"/>
            </w:tcBorders>
            <w:shd w:fill="D9EAF7"/>
          </w:tcPr>
          <w:p>
            <w:pPr>
              <w:spacing w:after="0"/>
            </w:pPr>
            <w:r>
              <w:rPr>
                <w:b/>
                <w:sz w:val="18"/>
              </w:rPr>
              <w:t>Risk</w:t>
            </w:r>
          </w:p>
        </w:tc>
        <w:tc>
          <w:tcPr>
            <w:tcW w:type="dxa" w:w="3389"/>
            <w:vAlign w:val="top"/>
            <w:tcBorders>
              <w:top w:sz="4" w:val="single" w:color="BFBFBF"/>
              <w:left w:sz="4" w:val="single" w:color="BFBFBF"/>
              <w:bottom w:sz="4" w:val="single" w:color="BFBFBF"/>
              <w:right w:sz="4" w:val="single" w:color="BFBFBF"/>
            </w:tcBorders>
            <w:shd w:fill="D9EAF7"/>
          </w:tcPr>
          <w:p>
            <w:pPr>
              <w:spacing w:after="0"/>
            </w:pPr>
            <w:r>
              <w:rPr>
                <w:b/>
                <w:sz w:val="18"/>
              </w:rPr>
              <w:t>Impact</w:t>
            </w:r>
          </w:p>
        </w:tc>
        <w:tc>
          <w:tcPr>
            <w:tcW w:type="dxa" w:w="3389"/>
            <w:vAlign w:val="top"/>
            <w:tcBorders>
              <w:top w:sz="4" w:val="single" w:color="BFBFBF"/>
              <w:left w:sz="4" w:val="single" w:color="BFBFBF"/>
              <w:bottom w:sz="4" w:val="single" w:color="BFBFBF"/>
              <w:right w:sz="4" w:val="single" w:color="BFBFBF"/>
            </w:tcBorders>
            <w:shd w:fill="D9EAF7"/>
          </w:tcPr>
          <w:p>
            <w:pPr>
              <w:spacing w:after="0"/>
            </w:pPr>
            <w:r>
              <w:rPr>
                <w:b/>
                <w:sz w:val="18"/>
              </w:rPr>
              <w:t>Contingency Plan</w:t>
            </w:r>
          </w:p>
        </w:tc>
      </w:tr>
      <w:tr>
        <w:tc>
          <w:tcPr>
            <w:tcW w:type="dxa" w:w="3389"/>
            <w:vAlign w:val="top"/>
            <w:tcBorders>
              <w:top w:sz="4" w:val="single" w:color="BFBFBF"/>
              <w:left w:sz="4" w:val="single" w:color="BFBFBF"/>
              <w:bottom w:sz="4" w:val="single" w:color="BFBFBF"/>
              <w:right w:sz="4" w:val="single" w:color="BFBFBF"/>
            </w:tcBorders>
          </w:tcPr>
          <w:p>
            <w:pPr>
              <w:spacing w:after="0"/>
            </w:pPr>
            <w:r>
              <w:rPr>
                <w:sz w:val="18"/>
              </w:rPr>
              <w:t>PDF extraction may be noisy or incomplete.</w:t>
            </w:r>
          </w:p>
        </w:tc>
        <w:tc>
          <w:tcPr>
            <w:tcW w:type="dxa" w:w="3389"/>
            <w:vAlign w:val="top"/>
            <w:tcBorders>
              <w:top w:sz="4" w:val="single" w:color="BFBFBF"/>
              <w:left w:sz="4" w:val="single" w:color="BFBFBF"/>
              <w:bottom w:sz="4" w:val="single" w:color="BFBFBF"/>
              <w:right w:sz="4" w:val="single" w:color="BFBFBF"/>
            </w:tcBorders>
          </w:tcPr>
          <w:p>
            <w:pPr>
              <w:spacing w:after="0"/>
            </w:pPr>
            <w:r>
              <w:rPr>
                <w:sz w:val="18"/>
              </w:rPr>
              <w:t>Incorrect chunks may hurt retrieval and evidence quality.</w:t>
            </w:r>
          </w:p>
        </w:tc>
        <w:tc>
          <w:tcPr>
            <w:tcW w:type="dxa" w:w="3389"/>
            <w:vAlign w:val="top"/>
            <w:tcBorders>
              <w:top w:sz="4" w:val="single" w:color="BFBFBF"/>
              <w:left w:sz="4" w:val="single" w:color="BFBFBF"/>
              <w:bottom w:sz="4" w:val="single" w:color="BFBFBF"/>
              <w:right w:sz="4" w:val="single" w:color="BFBFBF"/>
            </w:tcBorders>
          </w:tcPr>
          <w:p>
            <w:pPr>
              <w:spacing w:after="0"/>
            </w:pPr>
            <w:r>
              <w:rPr>
                <w:sz w:val="18"/>
              </w:rPr>
              <w:t>Use SEC HTML filings or manually downloaded clean annual report HTML/PDF versions; restrict MVP to Item 1A only.</w:t>
            </w:r>
          </w:p>
        </w:tc>
      </w:tr>
      <w:tr>
        <w:tc>
          <w:tcPr>
            <w:tcW w:type="dxa" w:w="3389"/>
            <w:vAlign w:val="top"/>
            <w:tcBorders>
              <w:top w:sz="4" w:val="single" w:color="BFBFBF"/>
              <w:left w:sz="4" w:val="single" w:color="BFBFBF"/>
              <w:bottom w:sz="4" w:val="single" w:color="BFBFBF"/>
              <w:right w:sz="4" w:val="single" w:color="BFBFBF"/>
            </w:tcBorders>
          </w:tcPr>
          <w:p>
            <w:pPr>
              <w:spacing w:after="0"/>
            </w:pPr>
            <w:r>
              <w:rPr>
                <w:sz w:val="18"/>
              </w:rPr>
              <w:t>LLM may output invalid JSON or unsupported explanations.</w:t>
            </w:r>
          </w:p>
        </w:tc>
        <w:tc>
          <w:tcPr>
            <w:tcW w:type="dxa" w:w="3389"/>
            <w:vAlign w:val="top"/>
            <w:tcBorders>
              <w:top w:sz="4" w:val="single" w:color="BFBFBF"/>
              <w:left w:sz="4" w:val="single" w:color="BFBFBF"/>
              <w:bottom w:sz="4" w:val="single" w:color="BFBFBF"/>
              <w:right w:sz="4" w:val="single" w:color="BFBFBF"/>
            </w:tcBorders>
          </w:tcPr>
          <w:p>
            <w:pPr>
              <w:spacing w:after="0"/>
            </w:pPr>
            <w:r>
              <w:rPr>
                <w:sz w:val="18"/>
              </w:rPr>
              <w:t>Structured profiles may become inconsistent.</w:t>
            </w:r>
          </w:p>
        </w:tc>
        <w:tc>
          <w:tcPr>
            <w:tcW w:type="dxa" w:w="3389"/>
            <w:vAlign w:val="top"/>
            <w:tcBorders>
              <w:top w:sz="4" w:val="single" w:color="BFBFBF"/>
              <w:left w:sz="4" w:val="single" w:color="BFBFBF"/>
              <w:bottom w:sz="4" w:val="single" w:color="BFBFBF"/>
              <w:right w:sz="4" w:val="single" w:color="BFBFBF"/>
            </w:tcBorders>
          </w:tcPr>
          <w:p>
            <w:pPr>
              <w:spacing w:after="0"/>
            </w:pPr>
            <w:r>
              <w:rPr>
                <w:sz w:val="18"/>
              </w:rPr>
              <w:t>Use strict schema prompts, JSON repair/validation, and a faithfulness rubric; require evidence snippets in every output.</w:t>
            </w:r>
          </w:p>
        </w:tc>
      </w:tr>
      <w:tr>
        <w:tc>
          <w:tcPr>
            <w:tcW w:type="dxa" w:w="3389"/>
            <w:vAlign w:val="top"/>
            <w:tcBorders>
              <w:top w:sz="4" w:val="single" w:color="BFBFBF"/>
              <w:left w:sz="4" w:val="single" w:color="BFBFBF"/>
              <w:bottom w:sz="4" w:val="single" w:color="BFBFBF"/>
              <w:right w:sz="4" w:val="single" w:color="BFBFBF"/>
            </w:tcBorders>
          </w:tcPr>
          <w:p>
            <w:pPr>
              <w:spacing w:after="0"/>
            </w:pPr>
            <w:r>
              <w:rPr>
                <w:sz w:val="18"/>
              </w:rPr>
              <w:t>Severity labels may be subjective.</w:t>
            </w:r>
          </w:p>
        </w:tc>
        <w:tc>
          <w:tcPr>
            <w:tcW w:type="dxa" w:w="3389"/>
            <w:vAlign w:val="top"/>
            <w:tcBorders>
              <w:top w:sz="4" w:val="single" w:color="BFBFBF"/>
              <w:left w:sz="4" w:val="single" w:color="BFBFBF"/>
              <w:bottom w:sz="4" w:val="single" w:color="BFBFBF"/>
              <w:right w:sz="4" w:val="single" w:color="BFBFBF"/>
            </w:tcBorders>
          </w:tcPr>
          <w:p>
            <w:pPr>
              <w:spacing w:after="0"/>
            </w:pPr>
            <w:r>
              <w:rPr>
                <w:sz w:val="18"/>
              </w:rPr>
              <w:t>Risk profiles may be hard to evaluate.</w:t>
            </w:r>
          </w:p>
        </w:tc>
        <w:tc>
          <w:tcPr>
            <w:tcW w:type="dxa" w:w="3389"/>
            <w:vAlign w:val="top"/>
            <w:tcBorders>
              <w:top w:sz="4" w:val="single" w:color="BFBFBF"/>
              <w:left w:sz="4" w:val="single" w:color="BFBFBF"/>
              <w:bottom w:sz="4" w:val="single" w:color="BFBFBF"/>
              <w:right w:sz="4" w:val="single" w:color="BFBFBF"/>
            </w:tcBorders>
          </w:tcPr>
          <w:p>
            <w:pPr>
              <w:spacing w:after="0"/>
            </w:pPr>
            <w:r>
              <w:rPr>
                <w:sz w:val="18"/>
              </w:rPr>
              <w:t>Define a simple low/medium/high rubric and evaluate category detection separately from severity scoring.</w:t>
            </w:r>
          </w:p>
        </w:tc>
      </w:tr>
      <w:tr>
        <w:tc>
          <w:tcPr>
            <w:tcW w:type="dxa" w:w="3389"/>
            <w:vAlign w:val="top"/>
            <w:tcBorders>
              <w:top w:sz="4" w:val="single" w:color="BFBFBF"/>
              <w:left w:sz="4" w:val="single" w:color="BFBFBF"/>
              <w:bottom w:sz="4" w:val="single" w:color="BFBFBF"/>
              <w:right w:sz="4" w:val="single" w:color="BFBFBF"/>
            </w:tcBorders>
          </w:tcPr>
          <w:p>
            <w:pPr>
              <w:spacing w:after="0"/>
            </w:pPr>
            <w:r>
              <w:rPr>
                <w:sz w:val="18"/>
              </w:rPr>
              <w:t>Compute may be limited for local LLM inference.</w:t>
            </w:r>
          </w:p>
        </w:tc>
        <w:tc>
          <w:tcPr>
            <w:tcW w:type="dxa" w:w="3389"/>
            <w:vAlign w:val="top"/>
            <w:tcBorders>
              <w:top w:sz="4" w:val="single" w:color="BFBFBF"/>
              <w:left w:sz="4" w:val="single" w:color="BFBFBF"/>
              <w:bottom w:sz="4" w:val="single" w:color="BFBFBF"/>
              <w:right w:sz="4" w:val="single" w:color="BFBFBF"/>
            </w:tcBorders>
          </w:tcPr>
          <w:p>
            <w:pPr>
              <w:spacing w:after="0"/>
            </w:pPr>
            <w:r>
              <w:rPr>
                <w:sz w:val="18"/>
              </w:rPr>
              <w:t>Large models may be slow on free GPUs.</w:t>
            </w:r>
          </w:p>
        </w:tc>
        <w:tc>
          <w:tcPr>
            <w:tcW w:type="dxa" w:w="3389"/>
            <w:vAlign w:val="top"/>
            <w:tcBorders>
              <w:top w:sz="4" w:val="single" w:color="BFBFBF"/>
              <w:left w:sz="4" w:val="single" w:color="BFBFBF"/>
              <w:bottom w:sz="4" w:val="single" w:color="BFBFBF"/>
              <w:right w:sz="4" w:val="single" w:color="BFBFBF"/>
            </w:tcBorders>
          </w:tcPr>
          <w:p>
            <w:pPr>
              <w:spacing w:after="0"/>
            </w:pPr>
            <w:r>
              <w:rPr>
                <w:sz w:val="18"/>
              </w:rPr>
              <w:t>Use Qwen2.5-3B-Instruct or Llama-3.2-3B-Instruct; reduce context size; use API only if necessary and clearly document usage.</w:t>
            </w:r>
          </w:p>
        </w:tc>
      </w:tr>
    </w:tbl>
    <w:p>
      <w:pPr>
        <w:pStyle w:val="Heading2"/>
      </w:pPr>
      <w:r>
        <w:t>3.10 Compute Resources</w:t>
      </w:r>
    </w:p>
    <w:p>
      <w:r>
        <w:t>[x] Google Colab (free tier)</w:t>
        <w:br/>
      </w:r>
      <w:r>
        <w:t>[x] Kaggle Notebooks</w:t>
        <w:br/>
      </w:r>
      <w:r>
        <w:t>[ ] Free credits from Google / other platforms</w:t>
        <w:br/>
      </w:r>
      <w:r>
        <w:t>[ ] Paid APIs - OpenAI / Anthropic / other</w:t>
        <w:br/>
      </w:r>
      <w:r>
        <w:t>[x] Local hardware for preprocessing and indexing</w:t>
        <w:br/>
      </w:r>
      <w:r>
        <w:t>[ ] Other</w:t>
      </w:r>
    </w:p>
    <w:p>
      <w:r>
        <w:t>Most of the pipeline is retrieval and preprocessing heavy rather than training heavy. Text extraction, chunking, FAISS indexing, and evaluation can run locally or in Colab. The selected LLMs are small instruction-tuned models in the 3B parameter range, which makes the project realistic under Colab/Kaggle constraints. If inference is slow, the system will reduce top-k context size or use a smaller model while keeping the same evaluation protocol.</w:t>
      </w:r>
    </w:p>
    <w:p>
      <w:pPr>
        <w:pStyle w:val="Heading2"/>
      </w:pPr>
      <w:r>
        <w:t>3.11 Expected Outcomes</w:t>
      </w:r>
    </w:p>
    <w:p>
      <w:r>
        <w:t>By June 7, we expect to deliver a working financial risk intelligence system that processes multiple 10-K reports, generates structured risk profiles for each company, and compares companies across selected risk categories with evidence. The demo will show a dashboard with company risk tables/heatmaps, top extracted risks, supporting snippets, and pairwise company comparisons. The final report will include the system architecture, dataset description, risk taxonomy, retrieval results, risk extraction results, faithfulness analysis, baseline comparisons, error analysis, limitations, and future work. The code repository will include a clear README, reproducible scripts, sample processed data, and instructions for running the dashboard.</w:t>
      </w:r>
    </w:p>
    <w:p>
      <w:pPr>
        <w:pStyle w:val="Heading1"/>
      </w:pPr>
      <w:r>
        <w:t>Section 4 - References</w:t>
      </w:r>
    </w:p>
    <w:p>
      <w:pPr>
        <w:spacing w:after="40"/>
        <w:ind w:left="216" w:hanging="216"/>
      </w:pPr>
      <w:r>
        <w:t>[1] SEC Investor.gov. How to Read a 10-K. https://www.investor.gov/introduction-investing/getting-started/researching-investments/how-read-10-k</w:t>
      </w:r>
    </w:p>
    <w:p>
      <w:pPr>
        <w:spacing w:after="40"/>
        <w:ind w:left="216" w:hanging="216"/>
      </w:pPr>
      <w:r>
        <w:t>[2] SEC. EDGAR Application Programming Interfaces. https://www.sec.gov/search-filings/edgar-application-programming-interfaces</w:t>
      </w:r>
    </w:p>
    <w:p>
      <w:pPr>
        <w:spacing w:after="40"/>
        <w:ind w:left="216" w:hanging="216"/>
      </w:pPr>
      <w:r>
        <w:t>[3] FAISS Documentation. Similarity search and clustering of dense vectors. https://faiss.ai/index.html</w:t>
      </w:r>
    </w:p>
    <w:p>
      <w:pPr>
        <w:spacing w:after="40"/>
        <w:ind w:left="216" w:hanging="216"/>
      </w:pPr>
      <w:r>
        <w:t>[4] Qwen Team. Qwen2.5-3B-Instruct model card. https://huggingface.co/Qwen/Qwen2.5-3B-Instruct</w:t>
      </w:r>
    </w:p>
    <w:p>
      <w:pPr>
        <w:spacing w:after="40"/>
        <w:ind w:left="216" w:hanging="216"/>
      </w:pPr>
      <w:r>
        <w:t>[5] Sentence-Transformers. all-MiniLM-L6-v2 model card. https://huggingface.co/sentence-transformers/all-MiniLM-L6-v2</w:t>
      </w:r>
    </w:p>
    <w:p>
      <w:pPr>
        <w:spacing w:after="40"/>
        <w:ind w:left="216" w:hanging="216"/>
      </w:pPr>
      <w:r>
        <w:t>[6] Lewis et al. (2020). Retrieval-Augmented Generation for Knowledge-Intensive NLP Tasks. https://arxiv.org/abs/2005.11401</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Automated Risk Profiling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eastAsia="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eastAsia="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