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8"/>
          <w:sz w:val="64"/>
        </w:rPr>
        <w:t>MANUAL DE USUARIO</w:t>
      </w:r>
    </w:p>
    <w:p>
      <w:pPr>
        <w:jc w:val="center"/>
      </w:pPr>
      <w:r>
        <w:rPr>
          <w:b/>
          <w:color w:val="2E75B6"/>
          <w:sz w:val="36"/>
        </w:rPr>
        <w:t>RISK NTC 4552-2</w:t>
        <w:br/>
        <w:t>Evaluación de Riesgo por Rayos</w:t>
      </w:r>
    </w:p>
    <w:p>
      <w:pPr>
        <w:jc w:val="center"/>
      </w:pPr>
      <w:r>
        <w:rPr>
          <w:color w:val="595959"/>
          <w:sz w:val="24"/>
        </w:rPr>
        <w:t>Norma NTC 4552-2:2023 / IEC 62305-2:2010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8"/>
          </w:tcPr>
          <w:p>
            <w:r/>
            <w:r>
              <w:rPr>
                <w:b/>
                <w:color w:val="FFFFFF"/>
                <w:sz w:val="18"/>
              </w:rPr>
              <w:t>Código del documento</w:t>
            </w:r>
          </w:p>
        </w:tc>
        <w:tc>
          <w:tcPr>
            <w:tcW w:type="dxa" w:w="2351"/>
            <w:shd w:fill="1F4E78"/>
          </w:tcPr>
          <w:p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351"/>
            <w:shd w:fill="1F4E78"/>
          </w:tcPr>
          <w:p>
            <w:r/>
            <w:r>
              <w:rPr>
                <w:b/>
                <w:color w:val="FFFFFF"/>
                <w:sz w:val="18"/>
              </w:rPr>
              <w:t>Fecha de emisión</w:t>
            </w:r>
          </w:p>
        </w:tc>
        <w:tc>
          <w:tcPr>
            <w:tcW w:type="dxa" w:w="2351"/>
            <w:shd w:fill="1F4E78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MU-RISK-4552-001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04/09/2026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APROBADO PARA DISTRIBUCIÓN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8"/>
          </w:tcPr>
          <w:p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1881"/>
            <w:shd w:fill="1F4E78"/>
          </w:tcPr>
          <w:p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881"/>
            <w:shd w:fill="1F4E78"/>
          </w:tcPr>
          <w:p>
            <w:r/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1881"/>
            <w:shd w:fill="1F4E78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881"/>
            <w:shd w:fill="1F4E78"/>
          </w:tcPr>
          <w:p>
            <w:r/>
            <w:r>
              <w:rPr>
                <w:b/>
                <w:color w:val="FFFFFF"/>
                <w:sz w:val="18"/>
              </w:rPr>
              <w:t>Firma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Elaboró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Ing. Carlos Andrés González L.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Ingeniero Desarrollador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04/09/2026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EDF3F9"/>
          </w:tcPr>
          <w:p>
            <w:r/>
            <w:r>
              <w:rPr>
                <w:sz w:val="18"/>
              </w:rPr>
              <w:t>Revisó</w:t>
            </w:r>
          </w:p>
        </w:tc>
        <w:tc>
          <w:tcPr>
            <w:tcW w:type="dxa" w:w="1881"/>
            <w:shd w:fill="EDF3F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  <w:shd w:fill="EDF3F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  <w:shd w:fill="EDF3F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  <w:shd w:fill="EDF3F9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Aprobó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AF1F8"/>
          </w:tcPr>
          <w:p>
            <w:r>
              <w:rPr>
                <w:b/>
                <w:color w:val="1F4E78"/>
                <w:sz w:val="20"/>
              </w:rPr>
              <w:t>CONFIDENCIALIDAD Y USO</w:t>
            </w:r>
          </w:p>
          <w:p>
            <w:r>
              <w:rPr>
                <w:color w:val="595959"/>
                <w:sz w:val="19"/>
              </w:rPr>
              <w:t>Este documento es parte integral del software RISK NTC 4552-2. Su contenido puede distribuirse libremente con fines de evaluación técnica, citando la fuente y la versión del documento.</w:t>
            </w:r>
          </w:p>
        </w:tc>
      </w:tr>
    </w:tbl>
    <w:p/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end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AF1F8"/>
          </w:tcPr>
          <w:p>
            <w:r>
              <w:rPr>
                <w:b/>
                <w:color w:val="1F4E78"/>
                <w:sz w:val="20"/>
              </w:rPr>
              <w:t>NOTA</w:t>
            </w:r>
          </w:p>
          <w:p>
            <w:r>
              <w:rPr>
                <w:color w:val="595959"/>
                <w:sz w:val="19"/>
              </w:rPr>
              <w:t>Al abrir el documento en Word: haga clic derecho sobre esta zona y seleccione "Actualizar campo" para generar la tabla de contenido con números de página.</w:t>
            </w:r>
          </w:p>
        </w:tc>
      </w:tr>
    </w:tbl>
    <w:p/>
    <w:p>
      <w:r>
        <w:br w:type="page"/>
      </w:r>
    </w:p>
    <w:p>
      <w:pPr>
        <w:pStyle w:val="Heading1"/>
      </w:pPr>
      <w:r>
        <w:t>1. INTRODUCCIÓN</w:t>
      </w:r>
    </w:p>
    <w:p>
      <w:r>
        <w:t>RISK NTC 4552-2 es una herramienta web de ingeniería diseñada para evaluar el riesgo asociado a descargas atmosféricas sobre estructuras, conforme a la metododología de la Norma Técnica Colombiana NTC 4552-2:2023, adopción nacional de la norma internacional IEC 62305-2:2010.</w:t>
      </w:r>
    </w:p>
    <w:p>
      <w:r>
        <w:t>La aplicación calcula los cuatro tipos de riesgo definidos por la norma y los compara contra los límites tolerables reglamentarios, indicando si la estructura cumple o si requiere medidas de protección.</w:t>
      </w:r>
    </w:p>
    <w:p>
      <w:pPr>
        <w:pStyle w:val="Heading2"/>
      </w:pPr>
      <w:r>
        <w:t>1.1 Propósito del manual</w:t>
      </w:r>
    </w:p>
    <w:p>
      <w:r>
        <w:t>Este documento describe de forma detallada la operación de la aplicación, el significado de cada parámetro de entrada, la interpretación correcta de los resultados y las buenas prácticas recomendadas para su uso profesional.</w:t>
      </w:r>
    </w:p>
    <w:p>
      <w:pPr>
        <w:pStyle w:val="Heading2"/>
      </w:pPr>
      <w:r>
        <w:t>1.2 Audiencia</w:t>
      </w:r>
    </w:p>
    <w:p>
      <w:r>
        <w:t>Dirigido a ingenieros eléctricos, diseñadores de sistemas de protección contra rayos, evaluadores de riesgo, técnicos especializados y estudiantes de ingeniería.</w:t>
      </w:r>
    </w:p>
    <w:p>
      <w:pPr>
        <w:pStyle w:val="Heading1"/>
      </w:pPr>
      <w:r>
        <w:t>2. ALCANCE Y MARCO NORMATIVO</w:t>
      </w:r>
    </w:p>
    <w:p>
      <w:pPr>
        <w:pStyle w:val="Heading2"/>
      </w:pPr>
      <w:r>
        <w:t>2.1 Normas aplicables</w:t>
      </w:r>
    </w:p>
    <w:p>
      <w:pPr>
        <w:pStyle w:val="ListBullet"/>
      </w:pPr>
      <w:r>
        <w:t>NTC 4552-2:2023 – Protección contra descargas atmosféricas. Parte 2: Gestión del riesgo.</w:t>
      </w:r>
    </w:p>
    <w:p>
      <w:pPr>
        <w:pStyle w:val="ListBullet"/>
      </w:pPr>
      <w:r>
        <w:t>IEC 62305-2:2010 – Protection against lightning. Part 2: Risk management.</w:t>
      </w:r>
    </w:p>
    <w:p>
      <w:pPr>
        <w:pStyle w:val="Heading2"/>
      </w:pPr>
      <w:r>
        <w:t>2.2 Tipos de riesgo evaluados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Límite tolerable (RT)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Pérdida de vidas humanas (incluye daño permanente)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1×10⁻⁵</w:t>
            </w:r>
          </w:p>
        </w:tc>
      </w:tr>
      <w:tr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Pérdida de servicio al público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1×10⁻³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Pérdida de patrimonio cultural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1×10⁻⁴</w:t>
            </w:r>
          </w:p>
        </w:tc>
      </w:tr>
      <w:tr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Pérdida económica (edificio y contenido)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1×10⁻³</w:t>
            </w:r>
          </w:p>
        </w:tc>
      </w:tr>
    </w:tbl>
    <w:p>
      <w:pPr>
        <w:pStyle w:val="Heading2"/>
      </w:pPr>
      <w:r>
        <w:t>2.3 Alcance técnico</w:t>
      </w:r>
    </w:p>
    <w:p>
      <w:r>
        <w:t>La aplicación implementa el modelo de componentes de riesgo de la norma: impactos directos sobre la estructura, impactos sobre líneas y servicios conectados y eventos cercanos, incluyendo factores de pérdida y probabilidades de daño asociadas a las medidas de protección seleccionadas.</w:t>
      </w:r>
    </w:p>
    <w:p>
      <w:pPr>
        <w:pStyle w:val="Heading1"/>
      </w:pPr>
      <w:r>
        <w:t>3. REQUISITOS DEL SISTEMA Y ACCESO</w:t>
      </w:r>
    </w:p>
    <w:p>
      <w:pPr>
        <w:pStyle w:val="Heading2"/>
      </w:pPr>
      <w:r>
        <w:t>3.1 Requisitos</w:t>
      </w:r>
    </w:p>
    <w:p>
      <w:pPr>
        <w:pStyle w:val="ListBullet"/>
      </w:pPr>
      <w:r>
        <w:t>Navegador moderno: Chrome, Edge, Firefox o Safari.</w:t>
      </w:r>
    </w:p>
    <w:p>
      <w:pPr>
        <w:pStyle w:val="ListBullet"/>
      </w:pPr>
      <w:r>
        <w:t>Conexión a internet (solo para cargar la página; el cálculo es local).</w:t>
      </w:r>
    </w:p>
    <w:p>
      <w:pPr>
        <w:pStyle w:val="ListBullet"/>
      </w:pPr>
      <w:r>
        <w:t>No requiere instalación, registro ni licencias.</w:t>
      </w:r>
    </w:p>
    <w:p>
      <w:pPr>
        <w:pStyle w:val="Heading2"/>
      </w:pPr>
      <w:r>
        <w:t>3.2 Acceso</w:t>
      </w:r>
    </w:p>
    <w:p>
      <w:r>
        <w:t>Abra el navegador e ingrese: https://cagi1685-crypto.github.io/risk-ntc4552/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AF1F8"/>
          </w:tcPr>
          <w:p>
            <w:r>
              <w:rPr>
                <w:b/>
                <w:color w:val="1F4E78"/>
                <w:sz w:val="20"/>
              </w:rPr>
              <w:t>PRIVACIDAD</w:t>
            </w:r>
          </w:p>
          <w:p>
            <w:r>
              <w:rPr>
                <w:color w:val="595959"/>
                <w:sz w:val="19"/>
              </w:rPr>
              <w:t>Todos los datos ingresados permanecen en el navegador del usuario. Ninguna información se transmite ni almacena en servidores.</w:t>
            </w:r>
          </w:p>
        </w:tc>
      </w:tr>
    </w:tbl>
    <w:p/>
    <w:p>
      <w:pPr>
        <w:pStyle w:val="Heading1"/>
      </w:pPr>
      <w:r>
        <w:t>4. DESCRIPCIÓN GENERAL DE LA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8"/>
          </w:tcPr>
          <w:p>
            <w:r/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4703"/>
            <w:shd w:fill="1F4E78"/>
          </w:tcPr>
          <w:p>
            <w:r/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1. Proyecto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Definición de ubicación y densidad de rayos (Ng).</w:t>
            </w:r>
          </w:p>
        </w:tc>
      </w:tr>
      <w:tr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2. Edificio</w:t>
            </w:r>
          </w:p>
        </w:tc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Características geométricas, de ocupación y de protección.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3. Resultados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Riesgos calculados vs. límites tolerables y estado normativo.</w:t>
            </w:r>
          </w:p>
        </w:tc>
      </w:tr>
    </w:tbl>
    <w:p>
      <w:r>
        <w:t>En la parte superior se encuentra la barra de pestañas de navegación. Debajo de ella aparece una barra de alertas que informa errores de captura, advertencias de validación o la confirmación de un cálculo exitoso.</w:t>
      </w:r>
    </w:p>
    <w:p>
      <w:pPr>
        <w:pStyle w:val="Heading1"/>
      </w:pPr>
      <w:r>
        <w:t>5. MÓDULO 1: PROYECTO</w:t>
      </w:r>
    </w:p>
    <w:p>
      <w:pPr>
        <w:pStyle w:val="Heading2"/>
      </w:pPr>
      <w:r>
        <w:t>5.1 Campos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8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  <w:shd w:fill="1F4E78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Nombre del Proyecto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Identificación libre del estudio. No afecta el cálculo.</w:t>
            </w:r>
          </w:p>
        </w:tc>
      </w:tr>
      <w:tr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Ciudad</w:t>
            </w:r>
          </w:p>
        </w:tc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Selector de 20 ciudades con Ng preconfigurado. Actualiza Ng automáticamente.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Densidad de Rayos 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Rayos/km²-año. Editable para valores de estudios locales.</w:t>
            </w:r>
          </w:p>
        </w:tc>
      </w:tr>
    </w:tbl>
    <w:p>
      <w:pPr>
        <w:pStyle w:val="Heading2"/>
      </w:pPr>
      <w:r>
        <w:t>5.2 Valores de Ng por ciudad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8"/>
          </w:tcPr>
          <w:p>
            <w:r/>
            <w:r>
              <w:rPr>
                <w:b/>
                <w:color w:val="FFFFFF"/>
                <w:sz w:val="18"/>
              </w:rPr>
              <w:t>Ciudad</w:t>
            </w:r>
          </w:p>
        </w:tc>
        <w:tc>
          <w:tcPr>
            <w:tcW w:type="dxa" w:w="2351"/>
            <w:shd w:fill="1F4E78"/>
          </w:tcPr>
          <w:p>
            <w:r/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type="dxa" w:w="2351"/>
            <w:shd w:fill="1F4E78"/>
          </w:tcPr>
          <w:p>
            <w:r/>
            <w:r>
              <w:rPr>
                <w:b/>
                <w:color w:val="FFFFFF"/>
                <w:sz w:val="18"/>
              </w:rPr>
              <w:t>Ciudad</w:t>
            </w:r>
          </w:p>
        </w:tc>
        <w:tc>
          <w:tcPr>
            <w:tcW w:type="dxa" w:w="2351"/>
            <w:shd w:fill="1F4E78"/>
          </w:tcPr>
          <w:p>
            <w:r/>
            <w:r>
              <w:rPr>
                <w:b/>
                <w:color w:val="FFFFFF"/>
                <w:sz w:val="18"/>
              </w:rPr>
              <w:t>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Bogotá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Manizales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7.0</w:t>
            </w:r>
          </w:p>
        </w:tc>
      </w:tr>
      <w:tr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Medellín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8.0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Neiva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5.5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Cali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6.0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Villavicencio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8.5</w:t>
            </w:r>
          </w:p>
        </w:tc>
      </w:tr>
      <w:tr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Barranquilla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Armenia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7.2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Bucaramanga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Popayán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5.8</w:t>
            </w:r>
          </w:p>
        </w:tc>
      </w:tr>
      <w:tr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Cartagena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Sincelejo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4.2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Cúcuta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6.5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Montería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4.8</w:t>
            </w:r>
          </w:p>
        </w:tc>
      </w:tr>
      <w:tr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Pereira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7.5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Valledupar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5.2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Santa Marta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Tunja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Ibagué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6.0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Pasto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4.5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AF1F8"/>
          </w:tcPr>
          <w:p>
            <w:r>
              <w:rPr>
                <w:b/>
                <w:color w:val="1F4E78"/>
                <w:sz w:val="20"/>
              </w:rPr>
              <w:t>RECOMENDACIÓN PROFESIONAL</w:t>
            </w:r>
          </w:p>
          <w:p>
            <w:r>
              <w:rPr>
                <w:color w:val="595959"/>
                <w:sz w:val="19"/>
              </w:rPr>
              <w:t>Para estudios definitivos utilice el Ng específico del sitio obtenido de redes de detección de rayos (ej.: SIDEC del IDEAM). El selector de ciudades es una referencia preliminar.</w:t>
            </w:r>
          </w:p>
        </w:tc>
      </w:tr>
    </w:tbl>
    <w:p/>
    <w:p>
      <w:pPr>
        <w:pStyle w:val="Heading1"/>
      </w:pPr>
      <w:r>
        <w:t>6. MÓDULO 2: EDIFICIO</w:t>
      </w:r>
    </w:p>
    <w:p>
      <w:pPr>
        <w:pStyle w:val="Heading2"/>
      </w:pPr>
      <w:r>
        <w:t>6.1 Dimensiones y ocupación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Nombre Edificio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Identificación de la estructura.</w:t>
            </w:r>
          </w:p>
        </w:tc>
      </w:tr>
      <w:tr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Largo L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Dimensión en planta.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Ancho W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Dimensión en planta.</w:t>
            </w:r>
          </w:p>
        </w:tc>
      </w:tr>
      <w:tr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Alto H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Altura total de la estructura.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Protuberancia HP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Elementos sobresalientes (antenas, tanques). 0 si no aplica.</w:t>
            </w:r>
          </w:p>
        </w:tc>
      </w:tr>
      <w:tr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Personas Totales (nT)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Ocupación total de la estructura.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Personas en Zona (nZ)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Personas en zonas de riesgo durante tormenta.</w:t>
            </w:r>
          </w:p>
        </w:tc>
      </w:tr>
    </w:tbl>
    <w:p>
      <w:pPr>
        <w:pStyle w:val="Heading2"/>
      </w:pPr>
      <w:r>
        <w:t>6.2 Parámetros del entorno y de la estructura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Opciones</w:t>
            </w:r>
          </w:p>
        </w:tc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Criterio de selección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Entorno (Cd)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Rodeada de objetos más altos (0.25) · Misma altura o inferior (0.5) · Aislada (1.0) · Aislada en colina (2.0)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Estructuras vecinas más altas reducen impactos; una colina los aumenta.</w:t>
            </w:r>
          </w:p>
        </w:tc>
      </w:tr>
      <w:tr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Riesgo Incendio (rf)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Nulo (0) · Bajo (0.001) · Normal (0.01) · Alto (0.1) · Explosión (1.0)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Según carga de fuego: &lt;400 MJ/m² bajo; 400–800 normal; &gt;800 alto.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Nivel Pánico (hz)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Sin daño especial (1) · Bajo (2) · Medio (5) · Alto (10)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Hospitales y grandes aglomeraciones incrementan el factor.</w:t>
            </w:r>
          </w:p>
        </w:tc>
      </w:tr>
      <w:tr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Nota 1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No / Sí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Actívela si hay riesgo de explosión o consecuencias sanitarias graves.</w:t>
            </w:r>
          </w:p>
        </w:tc>
      </w:tr>
    </w:tbl>
    <w:p>
      <w:pPr>
        <w:pStyle w:val="Heading2"/>
      </w:pPr>
      <w:r>
        <w:t>6.3 Medidas de protección (mitigación)</w:t>
      </w:r>
    </w:p>
    <w:p>
      <w:r>
        <w:t>Este bloque modela el efecto de las protecciones instaladas o propuestas. Para evaluar la estructura sin protección, deje los valores por defecto.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Opciones</w:t>
            </w:r>
          </w:p>
        </w:tc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Efecto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Pararrayos Externo (PB)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Ninguno (1.0) · Nivel IV (0.2) · Nivel III (0.1) · Nivel II (0.05) · Nivel I (0.02) · Nivel I + naturales (0.01) · Nivel I + techo metálico (0.001)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Reduce probabilidad de daño por impacto directo según nivel del SPCR.</w:t>
            </w:r>
          </w:p>
        </w:tc>
      </w:tr>
      <w:tr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DPS Tableros (PSPD)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Sin DPS (1.0) · III-IV (0.05) · II (0.02) · I (0.01) · Alta capacidad (0.005)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Protección contra sobretensiones en tableros internos.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DPS Acometida (PEB)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Mismas opciones que PSPD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Protección en el punto de entrada de servicios.</w:t>
            </w:r>
          </w:p>
        </w:tc>
      </w:tr>
      <w:tr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Medidas Contra Fuego (rp)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Sin medidas (1.0) · Extintores/rutas (0.5) · Automáticas (0.2)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Reduce probabilidad de daño por incendio iniciado por el rayo.</w:t>
            </w:r>
          </w:p>
        </w:tc>
      </w:tr>
    </w:tbl>
    <w:p>
      <w:pPr>
        <w:pStyle w:val="Heading2"/>
      </w:pPr>
      <w:r>
        <w:t>6.4 Botones de acción</w:t>
      </w:r>
    </w:p>
    <w:p>
      <w:pPr>
        <w:pStyle w:val="ListBullet"/>
      </w:pPr>
      <w:r>
        <w:t>Calcular Riesgo: valida entradas, ejecuta el motor y muestra resultados.</w:t>
      </w:r>
    </w:p>
    <w:p>
      <w:pPr>
        <w:pStyle w:val="ListBullet"/>
      </w:pPr>
      <w:r>
        <w:t>Limpiar: restablece los campos del edificio a valores por defecto.</w:t>
      </w:r>
    </w:p>
    <w:p>
      <w:pPr>
        <w:pStyle w:val="Heading1"/>
      </w:pPr>
      <w:r>
        <w:t>7. MÓDULO 3: RESULTADOS</w:t>
      </w:r>
    </w:p>
    <w:p>
      <w:pPr>
        <w:pStyle w:val="Heading2"/>
      </w:pPr>
      <w:r>
        <w:t>7.1 Tabla de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8"/>
          </w:tcPr>
          <w:p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4703"/>
            <w:shd w:fill="1F4E78"/>
          </w:tcPr>
          <w:p>
            <w:r/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Tipo de Riesgo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R1 a R4 según la norma.</w:t>
            </w:r>
          </w:p>
        </w:tc>
      </w:tr>
      <w:tr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Valor Calculado (Mitigado)</w:t>
            </w:r>
          </w:p>
        </w:tc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Riesgo anual con las protecciones seleccionadas, en notación científica.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Límite Tolerable (RT)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Valor máximo admisible según la norma.</w:t>
            </w:r>
          </w:p>
        </w:tc>
      </w:tr>
      <w:tr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Estado Normativo</w:t>
            </w:r>
          </w:p>
        </w:tc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CUMPLE (verde) o SUPERA LÍMITE (rojo).</w:t>
            </w:r>
          </w:p>
        </w:tc>
      </w:tr>
    </w:tbl>
    <w:p>
      <w:pPr>
        <w:pStyle w:val="Heading2"/>
      </w:pPr>
      <w:r>
        <w:t>7.2 Notación científica: guía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Notación</w:t>
            </w:r>
          </w:p>
        </w:tc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Equivale a</w:t>
            </w:r>
          </w:p>
        </w:tc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Lectura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1.8e-5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0.000018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18 eventos potenciales por millón de años de exposición</w:t>
            </w:r>
          </w:p>
        </w:tc>
      </w:tr>
      <w:tr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1.0e-3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0.001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Límite para riesgos económicos y de servicio</w:t>
            </w:r>
          </w:p>
        </w:tc>
      </w:tr>
    </w:tbl>
    <w:p>
      <w:pPr>
        <w:pStyle w:val="Heading1"/>
      </w:pPr>
      <w:r>
        <w:t>8. INTERPRETACIÓN DE RESULTADOS</w:t>
      </w:r>
    </w:p>
    <w:p>
      <w:pPr>
        <w:pStyle w:val="Heading2"/>
      </w:pPr>
      <w:r>
        <w:t>8.1 Regla de decisión de la norma</w:t>
      </w:r>
    </w:p>
    <w:p>
      <w:pPr>
        <w:pStyle w:val="ListBullet"/>
      </w:pPr>
      <w:r>
        <w:t>Si R ≤ RT para todos los riesgos aplicables: la estructura se considera protegida.</w:t>
      </w:r>
    </w:p>
    <w:p>
      <w:pPr>
        <w:pStyle w:val="ListBullet"/>
      </w:pPr>
      <w:r>
        <w:t>Si algún R &gt; RT: deben implementarse medidas de protección hasta que el riesgo recalculado quede bajo el límite.</w:t>
      </w:r>
    </w:p>
    <w:p>
      <w:pPr>
        <w:pStyle w:val="Heading2"/>
      </w:pPr>
      <w:r>
        <w:t>8.2 Flujo de trabajo recomendado</w:t>
      </w:r>
    </w:p>
    <w:p>
      <w:pPr>
        <w:pStyle w:val="ListNumber"/>
      </w:pPr>
      <w:r>
        <w:t>Evaluación base: capture geometría y ocupación reales sin protección y calcule. Los sellos rojos confirman la necesidad de protección.</w:t>
      </w:r>
    </w:p>
    <w:p>
      <w:pPr>
        <w:pStyle w:val="ListNumber"/>
      </w:pPr>
      <w:r>
        <w:t>Evaluación con protección propuesta: seleccione SPCR y DPS proyectados; recalcule.</w:t>
      </w:r>
    </w:p>
    <w:p>
      <w:pPr>
        <w:pStyle w:val="ListNumber"/>
      </w:pPr>
      <w:r>
        <w:t>Iteración: mejore el nivel de protección hasta lograr todos los sellos en verde.</w:t>
      </w:r>
    </w:p>
    <w:p>
      <w:pPr>
        <w:pStyle w:val="ListNumber"/>
      </w:pPr>
      <w:r>
        <w:t>Documentación: registre valores sin y con protección como evidencia del diseño.</w:t>
      </w:r>
    </w:p>
    <w:p>
      <w:pPr>
        <w:pStyle w:val="Heading2"/>
      </w:pPr>
      <w:r>
        <w:t>8.3 Ejemplo ilustrativo</w:t>
      </w:r>
    </w:p>
    <w:p>
      <w:r>
        <w:t>Edificio de 20×20×10 m, 50 ocupantes, en Medellín (Ng = 8.0), sin protección: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8"/>
          </w:tcPr>
          <w:p>
            <w:r/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2351"/>
            <w:shd w:fill="1F4E78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2351"/>
            <w:shd w:fill="1F4E78"/>
          </w:tcPr>
          <w:p>
            <w:r/>
            <w:r>
              <w:rPr>
                <w:b/>
                <w:color w:val="FFFFFF"/>
                <w:sz w:val="18"/>
              </w:rPr>
              <w:t>Límite</w:t>
            </w:r>
          </w:p>
        </w:tc>
        <w:tc>
          <w:tcPr>
            <w:tcW w:type="dxa" w:w="2351"/>
            <w:shd w:fill="1F4E78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1.81×10⁻⁵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1×10⁻⁵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SUPERA LÍMITE</w:t>
            </w:r>
          </w:p>
        </w:tc>
      </w:tr>
      <w:tr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1.94×10⁻²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1×10⁻³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SUPERA LÍMITE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1×10⁻⁴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1.94×10⁻¹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1×10⁻³</w:t>
            </w:r>
          </w:p>
        </w:tc>
        <w:tc>
          <w:tcPr>
            <w:tcW w:type="dxa" w:w="2351"/>
            <w:shd w:fill="EDF3F9"/>
          </w:tcPr>
          <w:p>
            <w:r/>
            <w:r>
              <w:rPr>
                <w:sz w:val="18"/>
              </w:rPr>
              <w:t>SUPERA LÍMITE</w:t>
            </w:r>
          </w:p>
        </w:tc>
      </w:tr>
    </w:tbl>
    <w:p>
      <w:r>
        <w:t>Al aplicar SPCR Nivel I, DPS Nivel I y supresión automática de incendios, los riesgos caen por debajo de los límites y todos los estados pasan a CUMPLE.</w:t>
      </w:r>
    </w:p>
    <w:p>
      <w:pPr>
        <w:pStyle w:val="Heading1"/>
      </w:pPr>
      <w:r>
        <w:t>9. VALIDACIONES Y ADVERTENCIAS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8"/>
          </w:tcPr>
          <w:p>
            <w:r/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4703"/>
            <w:shd w:fill="1F4E78"/>
          </w:tcPr>
          <w:p>
            <w:r/>
            <w:r>
              <w:rPr>
                <w:b/>
                <w:color w:val="FFFFFF"/>
                <w:sz w:val="18"/>
              </w:rPr>
              <w:t>Comportamiento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L, W o H ≤ 0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Bloquea el cálculo y muestra el error en la barra de alertas.</w:t>
            </w:r>
          </w:p>
        </w:tc>
      </w:tr>
      <w:tr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nT ≤ 0</w:t>
            </w:r>
          </w:p>
        </w:tc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Bloquea el cálculo.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nZ negativo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Bloquea el cálculo.</w:t>
            </w:r>
          </w:p>
        </w:tc>
      </w:tr>
      <w:tr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nZ &gt; nT</w:t>
            </w:r>
          </w:p>
        </w:tc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Advierte y ajusta automáticamente nZ al valor de nT.</w:t>
            </w:r>
          </w:p>
        </w:tc>
      </w:tr>
    </w:tbl>
    <w:p>
      <w:pPr>
        <w:pStyle w:val="Heading1"/>
      </w:pPr>
      <w:r>
        <w:t>10.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8"/>
          </w:tcPr>
          <w:p>
            <w:r/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703"/>
            <w:shd w:fill="1F4E78"/>
          </w:tcPr>
          <w:p>
            <w:r/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Densidad de descargas a tierra: rayos por km² por año.</w:t>
            </w:r>
          </w:p>
        </w:tc>
      </w:tr>
      <w:tr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Cd</w:t>
            </w:r>
          </w:p>
        </w:tc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Factor de ubicación/entorno que modifica la frecuencia de impactos.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SPCR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Sistema de Protección Contra el Rayo.</w:t>
            </w:r>
          </w:p>
        </w:tc>
      </w:tr>
      <w:tr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DPS</w:t>
            </w:r>
          </w:p>
        </w:tc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Dispositivo de Protección contra Sobretensiones.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rf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Probabilidad de daño por incendio según carga de fuego.</w:t>
            </w:r>
          </w:p>
        </w:tc>
      </w:tr>
      <w:tr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hz</w:t>
            </w:r>
          </w:p>
        </w:tc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Factor de amplificación por dificultad de evacuación o pánico.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Riesgo tolerable máximo por tipo de pérdida.</w:t>
            </w:r>
          </w:p>
        </w:tc>
      </w:tr>
      <w:tr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nZ / nT</w:t>
            </w:r>
          </w:p>
        </w:tc>
        <w:tc>
          <w:tcPr>
            <w:tcW w:type="dxa" w:w="4703"/>
            <w:shd w:fill="EDF3F9"/>
          </w:tcPr>
          <w:p>
            <w:r/>
            <w:r>
              <w:rPr>
                <w:sz w:val="18"/>
              </w:rPr>
              <w:t>Personas en zona de riesgo / personas totales.</w:t>
            </w:r>
          </w:p>
        </w:tc>
      </w:tr>
    </w:tbl>
    <w:p>
      <w:pPr>
        <w:pStyle w:val="Heading1"/>
      </w:pPr>
      <w:r>
        <w:t>11. LIMITACIONES Y DESCARGO DE RESPONSABILIDAD</w:t>
      </w:r>
    </w:p>
    <w:p>
      <w:pPr>
        <w:pStyle w:val="ListNumber"/>
      </w:pPr>
      <w:r>
        <w:t>La aplicación es una herramienta de evaluación y apoyo al diseño; no reemplaza el juicio del ingeniero responsable ni el estudio integral exigido por la NTC 4552-2.</w:t>
      </w:r>
    </w:p>
    <w:p>
      <w:pPr>
        <w:pStyle w:val="ListNumber"/>
      </w:pPr>
      <w:r>
        <w:t>Los Ng por ciudad son referenciales; para diseños finales use datos de redes de detección del sitio.</w:t>
      </w:r>
    </w:p>
    <w:p>
      <w:pPr>
        <w:pStyle w:val="ListNumber"/>
      </w:pPr>
      <w:r>
        <w:t>Parámetros avanzados no expuestos (longitudes de líneas, apantallamiento, transformadores) se asumen con valores conservadores de caso de estudio.</w:t>
      </w:r>
    </w:p>
    <w:p>
      <w:pPr>
        <w:pStyle w:val="ListNumber"/>
      </w:pPr>
      <w:r>
        <w:t>El resultado de la evaluación es responsabilidad del profesional que interpreta y firma el estudio.</w:t>
      </w:r>
    </w:p>
    <w:p>
      <w:pPr>
        <w:pStyle w:val="Heading1"/>
      </w:pPr>
      <w:r>
        <w:t>12. HISTORIAL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135"/>
            <w:shd w:fill="1F4E78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v1.0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Ago 2026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Primera versión del monolito web. Motor validado con pruebas de invariantes.</w:t>
            </w:r>
          </w:p>
        </w:tc>
      </w:tr>
      <w:tr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v2.0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Ago 2026</w:t>
            </w:r>
          </w:p>
        </w:tc>
        <w:tc>
          <w:tcPr>
            <w:tcW w:type="dxa" w:w="3135"/>
            <w:shd w:fill="EDF3F9"/>
          </w:tcPr>
          <w:p>
            <w:r/>
            <w:r>
              <w:rPr>
                <w:sz w:val="18"/>
              </w:rPr>
              <w:t>Interfaz autocontenida, selectores normativos completos, Ng automático y validador reforzado.</w:t>
            </w:r>
          </w:p>
        </w:tc>
      </w:tr>
    </w:tbl>
    <w:p>
      <w:pPr>
        <w:pStyle w:val="Heading1"/>
      </w:pPr>
      <w:r>
        <w:t>13. SOPORTE Y CONTACTO</w:t>
      </w:r>
    </w:p>
    <w:p>
      <w:r>
        <w:t>Para observaciones técnicas o reporte de inconsistencias:</w:t>
      </w:r>
    </w:p>
    <w:p>
      <w:r>
        <w:rPr>
          <w:b/>
        </w:rPr>
        <w:t>Ing. Carlos Andrés González L.</w:t>
      </w:r>
    </w:p>
    <w:p>
      <w:r>
        <w:t>Desarrollador – RISK NTC 4552-2</w:t>
      </w:r>
    </w:p>
    <w:p>
      <w:r>
        <w:t>https://cagi1685-crypto.github.io/risk-ntc4552/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RISK NTC 4552-2  |  Manual de Usuario  |  MU-RISK-4552-001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