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F9E"/>
          <w:sz w:val="40"/>
        </w:rPr>
        <w:t>UpToDate — Dahiliye What's New</w:t>
      </w:r>
    </w:p>
    <w:p>
      <w:pPr>
        <w:jc w:val="center"/>
      </w:pPr>
      <w:r>
        <w:rPr>
          <w:i/>
          <w:color w:val="444444"/>
          <w:sz w:val="22"/>
        </w:rPr>
        <w:t>Türkçe Konu Özetleri  |  07 June 2026</w:t>
      </w:r>
    </w:p>
    <w:p/>
    <w:p>
      <w:pPr>
        <w:pBdr>
          <w:bottom w:val="single" w:sz="6" w:space="1" w:color="1A5F9E"/>
        </w:pBdr>
      </w:pPr>
    </w:p>
    <w:p/>
    <w:p>
      <w:pPr>
        <w:pStyle w:val="Heading1"/>
        <w:jc w:val="left"/>
      </w:pPr>
      <w:r>
        <w:rPr>
          <w:color w:val="1A5F9E"/>
          <w:sz w:val="28"/>
        </w:rPr>
        <w:t>Genel Dahiliye / Birinci Basamak</w:t>
      </w:r>
    </w:p>
    <w:p>
      <w:pPr>
        <w:spacing w:before="120"/>
      </w:pPr>
      <w:r>
        <w:rPr>
          <w:b/>
          <w:color w:val="1A5F9E"/>
          <w:sz w:val="22"/>
        </w:rPr>
        <w:t xml:space="preserve">1. </w:t>
      </w:r>
      <w:r>
        <w:rPr>
          <w:b/>
          <w:color w:val="1A5F9E"/>
          <w:sz w:val="22"/>
        </w:rPr>
        <w:t>COVID-19 Ev İçi Maruziyet Sonrası Ensitrelvir ile Korunma</w:t>
      </w:r>
    </w:p>
    <w:p>
      <w:pPr>
        <w:spacing w:before="0"/>
        <w:ind w:left="480"/>
      </w:pPr>
      <w:r>
        <w:rPr>
          <w:i/>
          <w:color w:val="888888"/>
          <w:sz w:val="17"/>
        </w:rPr>
        <w:t>(Ensitrelvir for post-exposure prophylaxis after household COVID-19 exposure)</w:t>
      </w:r>
    </w:p>
    <w:p>
      <w:pPr>
        <w:spacing w:before="40" w:after="120"/>
        <w:ind w:left="480"/>
      </w:pPr>
      <w:r>
        <w:rPr>
          <w:sz w:val="20"/>
        </w:rPr>
        <w:t>SCORPIO-PEP randomize çalışmasında, ev içi COVID-19 temasından sonraki 72 saat içinde verilen ensitrelvir, enfeksiyon riskini anlamlı biçimde azalttı (%16,6'ya karşı %24,6; RR 0,67). İlaç Japonya'da onaylıdır; UpToDate artık yüksek riskli ev içi temaslılar için ensetrelviri bir seçenek olarak desteklemektedir.</w:t>
      </w:r>
    </w:p>
    <w:p>
      <w:pPr>
        <w:spacing w:before="120"/>
      </w:pPr>
      <w:r>
        <w:rPr>
          <w:b/>
          <w:color w:val="1A5F9E"/>
          <w:sz w:val="22"/>
        </w:rPr>
        <w:t xml:space="preserve">2. </w:t>
      </w:r>
      <w:r>
        <w:rPr>
          <w:b/>
          <w:color w:val="1A5F9E"/>
          <w:sz w:val="22"/>
        </w:rPr>
        <w:t>SGLT2 İnhibitörleri ve Fournier Gangreni Riski</w:t>
      </w:r>
    </w:p>
    <w:p>
      <w:pPr>
        <w:spacing w:before="0"/>
        <w:ind w:left="480"/>
      </w:pPr>
      <w:r>
        <w:rPr>
          <w:i/>
          <w:color w:val="888888"/>
          <w:sz w:val="17"/>
        </w:rPr>
        <w:t>(Sodium-glucose cotransporter 2 inhibitors and risk of Fournier's gangrene)</w:t>
      </w:r>
    </w:p>
    <w:p>
      <w:pPr>
        <w:spacing w:before="40" w:after="120"/>
        <w:ind w:left="480"/>
      </w:pPr>
      <w:r>
        <w:rPr>
          <w:sz w:val="20"/>
        </w:rPr>
        <w:t>Güncel veriler, SGLT2 inhibitörlerinin küçük ancak gerçek bir Fournier gangreni riski artışıyla ilişkili olduğunu doğrulamaktadır. Hastalara perineal ağrı, şişlik veya eritem konusunda bilgi verilmeli ve semptom gelişiminde acilen başvurmaları önerilmelidir.</w:t>
      </w:r>
    </w:p>
    <w:p>
      <w:pPr>
        <w:spacing w:before="120"/>
      </w:pPr>
      <w:r>
        <w:rPr>
          <w:b/>
          <w:color w:val="1A5F9E"/>
          <w:sz w:val="22"/>
        </w:rPr>
        <w:t xml:space="preserve">3. </w:t>
      </w:r>
      <w:r>
        <w:rPr>
          <w:b/>
          <w:color w:val="1A5F9E"/>
          <w:sz w:val="22"/>
        </w:rPr>
        <w:t>Kardiyovasküler Birincil Korunmada Düşük Doz Aspirin</w:t>
      </w:r>
    </w:p>
    <w:p>
      <w:pPr>
        <w:spacing w:before="0"/>
        <w:ind w:left="480"/>
      </w:pPr>
      <w:r>
        <w:rPr>
          <w:i/>
          <w:color w:val="888888"/>
          <w:sz w:val="17"/>
        </w:rPr>
        <w:t>(Low-dose aspirin for primary prevention of cardiovascular events)</w:t>
      </w:r>
    </w:p>
    <w:p>
      <w:pPr>
        <w:spacing w:before="40" w:after="120"/>
        <w:ind w:left="480"/>
      </w:pPr>
      <w:r>
        <w:rPr>
          <w:sz w:val="20"/>
        </w:rPr>
        <w:t>Kılavuzlar, kanama riskinin faydayı aştığı gerekçesiyle 60 yaş ve üzeri erişkinlerde rutin aspirin kullanımına karşı duruşunu korumaktadır. Seçilmiş yüksek riskli hastalarda bireyselleştirilmiş karar verme yaklaşımı önemini korumaktadır.</w:t>
      </w:r>
    </w:p>
    <w:p>
      <w:pPr>
        <w:spacing w:before="120"/>
      </w:pPr>
      <w:r>
        <w:rPr>
          <w:b/>
          <w:color w:val="1A5F9E"/>
          <w:sz w:val="22"/>
        </w:rPr>
        <w:t xml:space="preserve">4. </w:t>
      </w:r>
      <w:r>
        <w:rPr>
          <w:b/>
          <w:color w:val="1A5F9E"/>
          <w:sz w:val="22"/>
        </w:rPr>
        <w:t>GLP-1 Reseptör Agonistleri: Kardiyovasküler Komplikasyonlarda Azalma (FLOW Çalışması)</w:t>
      </w:r>
    </w:p>
    <w:p>
      <w:pPr>
        <w:spacing w:before="0"/>
        <w:ind w:left="480"/>
      </w:pPr>
      <w:r>
        <w:rPr>
          <w:i/>
          <w:color w:val="888888"/>
          <w:sz w:val="17"/>
        </w:rPr>
        <w:t>(GLP-1 receptor agonists: reduced cardiovascular outcomes in CKD (FLOW trial))</w:t>
      </w:r>
    </w:p>
    <w:p>
      <w:pPr>
        <w:spacing w:before="40" w:after="120"/>
        <w:ind w:left="480"/>
      </w:pPr>
      <w:r>
        <w:rPr>
          <w:sz w:val="20"/>
        </w:rPr>
        <w:t>FLOW çalışmasında semaglutid, kronik böbrek hastalığı ve tip 2 diyabetli bireylerde böbrek hastalığının ilerlemesini ve kardiyovasküler ölümü anlamlı ölçüde azalttı. Bu bulgu, GLP-1 RA'larının KBH'daki rolünü güçlendirmekte olup UpToDate önerilerini güncellemektedir.</w:t>
      </w:r>
    </w:p>
    <w:p/>
    <w:p>
      <w:pPr>
        <w:pStyle w:val="Heading1"/>
        <w:jc w:val="left"/>
      </w:pPr>
      <w:r>
        <w:rPr>
          <w:color w:val="1A5F9E"/>
          <w:sz w:val="28"/>
        </w:rPr>
        <w:t>Kardiyoloji</w:t>
      </w:r>
    </w:p>
    <w:p>
      <w:pPr>
        <w:spacing w:before="120"/>
      </w:pPr>
      <w:r>
        <w:rPr>
          <w:b/>
          <w:color w:val="1A5F9E"/>
          <w:sz w:val="22"/>
        </w:rPr>
        <w:t xml:space="preserve">1. </w:t>
      </w:r>
      <w:r>
        <w:rPr>
          <w:b/>
          <w:color w:val="1A5F9E"/>
          <w:sz w:val="22"/>
        </w:rPr>
        <w:t>Majör Kardiyovasküler Olayların İkincil Korunmasında Kolşisin</w:t>
      </w:r>
    </w:p>
    <w:p>
      <w:pPr>
        <w:spacing w:before="0"/>
        <w:ind w:left="480"/>
      </w:pPr>
      <w:r>
        <w:rPr>
          <w:i/>
          <w:color w:val="888888"/>
          <w:sz w:val="17"/>
        </w:rPr>
        <w:t>(Colchicine for secondary prevention of major adverse cardiovascular events)</w:t>
      </w:r>
    </w:p>
    <w:p>
      <w:pPr>
        <w:spacing w:before="40" w:after="120"/>
        <w:ind w:left="480"/>
      </w:pPr>
      <w:r>
        <w:rPr>
          <w:sz w:val="20"/>
        </w:rPr>
        <w:t>Düşük doz kolşisin (0,5 mg/gün), Mİ sonrasında MACE'yi plaseboya kıyasla yaklaşık %23 azaltmaktadır (LoDoCo2, COLCOT çalışmaları). Güncel UpToDate kılavuzu, stabil koroner hastalıkta ikincil korunma seçeneği olarak kolşisini artık listelemektedir.</w:t>
      </w:r>
    </w:p>
    <w:p>
      <w:pPr>
        <w:spacing w:before="120"/>
      </w:pPr>
      <w:r>
        <w:rPr>
          <w:b/>
          <w:color w:val="1A5F9E"/>
          <w:sz w:val="22"/>
        </w:rPr>
        <w:t xml:space="preserve">2. </w:t>
      </w:r>
      <w:r>
        <w:rPr>
          <w:b/>
          <w:color w:val="1A5F9E"/>
          <w:sz w:val="22"/>
        </w:rPr>
        <w:t>Düşük Riskli Hastalarda TAVR ile Cerrahi AVR Karşılaştırması</w:t>
      </w:r>
    </w:p>
    <w:p>
      <w:pPr>
        <w:spacing w:before="0"/>
        <w:ind w:left="480"/>
      </w:pPr>
      <w:r>
        <w:rPr>
          <w:i/>
          <w:color w:val="888888"/>
          <w:sz w:val="17"/>
        </w:rPr>
        <w:t>(Transcatheter aortic valve replacement vs surgical AVR in low-risk patients)</w:t>
      </w:r>
    </w:p>
    <w:p>
      <w:pPr>
        <w:spacing w:before="40" w:after="120"/>
        <w:ind w:left="480"/>
      </w:pPr>
      <w:r>
        <w:rPr>
          <w:sz w:val="20"/>
        </w:rPr>
        <w:t>PARTNER 3 ve Evolut Low Risk çalışmalarının 5 yıllık takibi, düşük cerrahi riskli hastalarda TAVR'ın SAVR ile karşılaştırılabilir sonuçlar sunduğunu göstermiştir. Anatomik uygunluğu olan düşük riskli adaylara TAVR artık önerilebilmektedir.</w:t>
      </w:r>
    </w:p>
    <w:p>
      <w:pPr>
        <w:spacing w:before="120"/>
      </w:pPr>
      <w:r>
        <w:rPr>
          <w:b/>
          <w:color w:val="1A5F9E"/>
          <w:sz w:val="22"/>
        </w:rPr>
        <w:t xml:space="preserve">3. </w:t>
      </w:r>
      <w:r>
        <w:rPr>
          <w:b/>
          <w:color w:val="1A5F9E"/>
          <w:sz w:val="22"/>
        </w:rPr>
        <w:t>HFmrEF/HFpEF'te Finerenon</w:t>
      </w:r>
    </w:p>
    <w:p>
      <w:pPr>
        <w:spacing w:before="0"/>
        <w:ind w:left="480"/>
      </w:pPr>
      <w:r>
        <w:rPr>
          <w:i/>
          <w:color w:val="888888"/>
          <w:sz w:val="17"/>
        </w:rPr>
        <w:t>(Finerenone in heart failure with mildly reduced or preserved ejection fraction)</w:t>
      </w:r>
    </w:p>
    <w:p>
      <w:pPr>
        <w:spacing w:before="40" w:after="120"/>
        <w:ind w:left="480"/>
      </w:pPr>
      <w:r>
        <w:rPr>
          <w:sz w:val="20"/>
        </w:rPr>
        <w:t>FINEARTS-HF çalışmasında finerenon (steroid dışı MRA), HFmrEF ve HFpEF'li hastalarda kalp yetmezliğinin kötüleşme olaylarını ve kardiyovasküler ölümü azalttı. FDA onayı beklenmekte; UpToDate bu ilacı gelişmekte olan bir seçenek olarak belirtmektedir.</w:t>
      </w:r>
    </w:p>
    <w:p>
      <w:pPr>
        <w:spacing w:before="120"/>
      </w:pPr>
      <w:r>
        <w:rPr>
          <w:b/>
          <w:color w:val="1A5F9E"/>
          <w:sz w:val="22"/>
        </w:rPr>
        <w:t xml:space="preserve">4. </w:t>
      </w:r>
      <w:r>
        <w:rPr>
          <w:b/>
          <w:color w:val="1A5F9E"/>
          <w:sz w:val="22"/>
        </w:rPr>
        <w:t>Atriyal Fibrilasyonda Ablasyon ile İlaç Tedavisinin Karşılaştırılması (CABANA)</w:t>
      </w:r>
    </w:p>
    <w:p>
      <w:pPr>
        <w:spacing w:before="0"/>
        <w:ind w:left="480"/>
      </w:pPr>
      <w:r>
        <w:rPr>
          <w:i/>
          <w:color w:val="888888"/>
          <w:sz w:val="17"/>
        </w:rPr>
        <w:t>(Catheter ablation vs antiarrhythmic drug therapy in AF (CABANA trial update))</w:t>
      </w:r>
    </w:p>
    <w:p>
      <w:pPr>
        <w:spacing w:before="40" w:after="120"/>
        <w:ind w:left="480"/>
      </w:pPr>
      <w:r>
        <w:rPr>
          <w:sz w:val="20"/>
        </w:rPr>
        <w:t>CABANA çalışmasının uzun dönem verileri, kateter ablasyonunun antiaritmik ilaç tedavisine kıyasla yaşam kalitesi ve semptom yükü açısından üstünlüğünü koruyarak semptomatik AF'de tercih edilmesi gerektiğini desteklemektedir.</w:t>
      </w:r>
    </w:p>
    <w:p/>
    <w:p>
      <w:pPr>
        <w:pStyle w:val="Heading1"/>
        <w:jc w:val="left"/>
      </w:pPr>
      <w:r>
        <w:rPr>
          <w:color w:val="1A5F9E"/>
          <w:sz w:val="28"/>
        </w:rPr>
        <w:t>Endokrinoloji ve Diyabet</w:t>
      </w:r>
    </w:p>
    <w:p>
      <w:pPr>
        <w:spacing w:before="120"/>
      </w:pPr>
      <w:r>
        <w:rPr>
          <w:b/>
          <w:color w:val="1A5F9E"/>
          <w:sz w:val="22"/>
        </w:rPr>
        <w:t xml:space="preserve">1. </w:t>
      </w:r>
      <w:r>
        <w:rPr>
          <w:b/>
          <w:color w:val="1A5F9E"/>
          <w:sz w:val="22"/>
        </w:rPr>
        <w:t>Obezite Tedavisinde Tirzepatid</w:t>
      </w:r>
    </w:p>
    <w:p>
      <w:pPr>
        <w:spacing w:before="0"/>
        <w:ind w:left="480"/>
      </w:pPr>
      <w:r>
        <w:rPr>
          <w:i/>
          <w:color w:val="888888"/>
          <w:sz w:val="17"/>
        </w:rPr>
        <w:t>(Tirzepatide for obesity and overweight)</w:t>
      </w:r>
    </w:p>
    <w:p>
      <w:pPr>
        <w:spacing w:before="40" w:after="120"/>
        <w:ind w:left="480"/>
      </w:pPr>
      <w:r>
        <w:rPr>
          <w:sz w:val="20"/>
        </w:rPr>
        <w:t>SURMOUNT-1 çalışmasında tirzepatid 15 mg, 72 hafta içinde ortalama %20,9 oranında kilo kaybı sağladı. İlaç, kronik kilo yönetimi için FDA onaylıdır (Zepbound marka adıyla). UpToDate, uygun hastalarda birinci basamak farmakoterapi olarak bu ilacı önermektedir.</w:t>
      </w:r>
    </w:p>
    <w:p>
      <w:pPr>
        <w:spacing w:before="120"/>
      </w:pPr>
      <w:r>
        <w:rPr>
          <w:b/>
          <w:color w:val="1A5F9E"/>
          <w:sz w:val="22"/>
        </w:rPr>
        <w:t xml:space="preserve">2. </w:t>
      </w:r>
      <w:r>
        <w:rPr>
          <w:b/>
          <w:color w:val="1A5F9E"/>
          <w:sz w:val="22"/>
        </w:rPr>
        <w:t>Bazal İnsülin Kullanan Tip 2 Diyabetlilerde Sürekli Glukoz İzlemi</w:t>
      </w:r>
    </w:p>
    <w:p>
      <w:pPr>
        <w:spacing w:before="0"/>
        <w:ind w:left="480"/>
      </w:pPr>
      <w:r>
        <w:rPr>
          <w:i/>
          <w:color w:val="888888"/>
          <w:sz w:val="17"/>
        </w:rPr>
        <w:t>(Continuous glucose monitoring in type 2 diabetes managed with basal insulin)</w:t>
      </w:r>
    </w:p>
    <w:p>
      <w:pPr>
        <w:spacing w:before="40" w:after="120"/>
        <w:ind w:left="480"/>
      </w:pPr>
      <w:r>
        <w:rPr>
          <w:sz w:val="20"/>
        </w:rPr>
        <w:t>Bazal insülin kullanan tip 2 diyabetlilerde CGM kullanımı, standart glukoz ölçümüne kıyasla HbA1c'yi iyileştirmekte ve hipoglisemiyi azaltmaktadır. UpToDate artık bu hasta grubu için CGM'yi önermektedir.</w:t>
      </w:r>
    </w:p>
    <w:p>
      <w:pPr>
        <w:spacing w:before="120"/>
      </w:pPr>
      <w:r>
        <w:rPr>
          <w:b/>
          <w:color w:val="1A5F9E"/>
          <w:sz w:val="22"/>
        </w:rPr>
        <w:t xml:space="preserve">3. </w:t>
      </w:r>
      <w:r>
        <w:rPr>
          <w:b/>
          <w:color w:val="1A5F9E"/>
          <w:sz w:val="22"/>
        </w:rPr>
        <w:t>Tip 1 Diyabette Otomatik İnsülin Dağıtım Sistemleri</w:t>
      </w:r>
    </w:p>
    <w:p>
      <w:pPr>
        <w:spacing w:before="0"/>
        <w:ind w:left="480"/>
      </w:pPr>
      <w:r>
        <w:rPr>
          <w:i/>
          <w:color w:val="888888"/>
          <w:sz w:val="17"/>
        </w:rPr>
        <w:t>(Automated insulin delivery systems in type 1 diabetes)</w:t>
      </w:r>
    </w:p>
    <w:p>
      <w:pPr>
        <w:spacing w:before="40" w:after="120"/>
        <w:ind w:left="480"/>
      </w:pPr>
      <w:r>
        <w:rPr>
          <w:sz w:val="20"/>
        </w:rPr>
        <w:t>Kapalı döngü insülin pompası sistemleri (yapay pankreas), tip 1 diyabetlilerde hedef aralıkta geçirilen zamanı belirgin biçimde artırmakta ve hipoglisemi sıklığını azaltmaktadır. UpToDate bu sistemleri standart bakımda tercih edilen seçenek olarak önermektedir.</w:t>
      </w:r>
    </w:p>
    <w:p/>
    <w:p>
      <w:pPr>
        <w:pStyle w:val="Heading1"/>
        <w:jc w:val="left"/>
      </w:pPr>
      <w:r>
        <w:rPr>
          <w:color w:val="1A5F9E"/>
          <w:sz w:val="28"/>
        </w:rPr>
        <w:t>Nefroloji ve Hipertansiyon</w:t>
      </w:r>
    </w:p>
    <w:p>
      <w:pPr>
        <w:spacing w:before="120"/>
      </w:pPr>
      <w:r>
        <w:rPr>
          <w:b/>
          <w:color w:val="1A5F9E"/>
          <w:sz w:val="22"/>
        </w:rPr>
        <w:t xml:space="preserve">1. </w:t>
      </w:r>
      <w:r>
        <w:rPr>
          <w:b/>
          <w:color w:val="1A5F9E"/>
          <w:sz w:val="22"/>
        </w:rPr>
        <w:t>Kronik Böbrek Hastalığında SGLT2 İnhibitörleri: Güncel Kardiyorenal Sonuçlar</w:t>
      </w:r>
    </w:p>
    <w:p>
      <w:pPr>
        <w:spacing w:before="0"/>
        <w:ind w:left="480"/>
      </w:pPr>
      <w:r>
        <w:rPr>
          <w:i/>
          <w:color w:val="888888"/>
          <w:sz w:val="17"/>
        </w:rPr>
        <w:t>(SGLT2 inhibitors in CKD: updated cardiovascular and renal outcomes)</w:t>
      </w:r>
    </w:p>
    <w:p>
      <w:pPr>
        <w:spacing w:before="40" w:after="120"/>
        <w:ind w:left="480"/>
      </w:pPr>
      <w:r>
        <w:rPr>
          <w:sz w:val="20"/>
        </w:rPr>
        <w:t>EMPA-KIDNEY çalışması, empagliflozin'in geniş bir KBH popülasyonunda (eGFR 20-45 veya albüminüri ile birlikte ≥45) böbrek hastalığının ilerlemesini ve kardiyovasküler ölümü azalttığını teyit etti. SGLT2 inhibitörleri artık diyabet durumundan bağımsız olarak KBH'da standart bakım kabul edilmektedir.</w:t>
      </w:r>
    </w:p>
    <w:p>
      <w:pPr>
        <w:spacing w:before="120"/>
      </w:pPr>
      <w:r>
        <w:rPr>
          <w:b/>
          <w:color w:val="1A5F9E"/>
          <w:sz w:val="22"/>
        </w:rPr>
        <w:t xml:space="preserve">2. </w:t>
      </w:r>
      <w:r>
        <w:rPr>
          <w:b/>
          <w:color w:val="1A5F9E"/>
          <w:sz w:val="22"/>
        </w:rPr>
        <w:t>Hipertansiyonda Tek Hap Kombinasyon Tedavisi (Poli-hap)</w:t>
      </w:r>
    </w:p>
    <w:p>
      <w:pPr>
        <w:spacing w:before="0"/>
        <w:ind w:left="480"/>
      </w:pPr>
      <w:r>
        <w:rPr>
          <w:i/>
          <w:color w:val="888888"/>
          <w:sz w:val="17"/>
        </w:rPr>
        <w:t>(Single-pill combination therapy (polypill) in hypertension)</w:t>
      </w:r>
    </w:p>
    <w:p>
      <w:pPr>
        <w:spacing w:before="40" w:after="120"/>
        <w:ind w:left="480"/>
      </w:pPr>
      <w:r>
        <w:rPr>
          <w:sz w:val="20"/>
        </w:rPr>
        <w:t>Poli-hap stratejisi, özellikle düşük-orta gelirli ülkelerde kan basıncı kontrolünü ve ilaç uyumunu anlamlı ölçüde iyileştirmektedir. UpToDate, birden fazla ilaç gerektiren hipertansif hastalarda bu yaklaşımı uyum artırıcı bir strateji olarak desteklemektedir.</w:t>
      </w:r>
    </w:p>
    <w:p/>
    <w:p>
      <w:pPr>
        <w:pStyle w:val="Heading1"/>
        <w:jc w:val="left"/>
      </w:pPr>
      <w:r>
        <w:rPr>
          <w:color w:val="1A5F9E"/>
          <w:sz w:val="28"/>
        </w:rPr>
        <w:t>Gastroenteroloji</w:t>
      </w:r>
    </w:p>
    <w:p>
      <w:pPr>
        <w:spacing w:before="120"/>
      </w:pPr>
      <w:r>
        <w:rPr>
          <w:b/>
          <w:color w:val="1A5F9E"/>
          <w:sz w:val="22"/>
        </w:rPr>
        <w:t xml:space="preserve">1. </w:t>
      </w:r>
      <w:r>
        <w:rPr>
          <w:b/>
          <w:color w:val="1A5F9E"/>
          <w:sz w:val="22"/>
        </w:rPr>
        <w:t>Yapay Zeka Destekli Kolonoskopide Adenom Tespiti</w:t>
      </w:r>
    </w:p>
    <w:p>
      <w:pPr>
        <w:spacing w:before="0"/>
        <w:ind w:left="480"/>
      </w:pPr>
      <w:r>
        <w:rPr>
          <w:i/>
          <w:color w:val="888888"/>
          <w:sz w:val="17"/>
        </w:rPr>
        <w:t>(Artificial intelligence–assisted colonoscopy and adenoma detection)</w:t>
      </w:r>
    </w:p>
    <w:p>
      <w:pPr>
        <w:spacing w:before="40" w:after="120"/>
        <w:ind w:left="480"/>
      </w:pPr>
      <w:r>
        <w:rPr>
          <w:sz w:val="20"/>
        </w:rPr>
        <w:t>Çok sayıda randomize çalışma, yapay zeka destekli kolonoskopinin adenom tespit oranını standart kolonoskopiye kıyasla yaklaşık %10-15 artırdığını göstermektedir. UpToDate, bu teknolojiyi mevcut olduğu durumlarda bir seçenek olarak kabul etmektedir.</w:t>
      </w:r>
    </w:p>
    <w:p>
      <w:pPr>
        <w:spacing w:before="120"/>
      </w:pPr>
      <w:r>
        <w:rPr>
          <w:b/>
          <w:color w:val="1A5F9E"/>
          <w:sz w:val="22"/>
        </w:rPr>
        <w:t xml:space="preserve">2. </w:t>
      </w:r>
      <w:r>
        <w:rPr>
          <w:b/>
          <w:color w:val="1A5F9E"/>
          <w:sz w:val="22"/>
        </w:rPr>
        <w:t>İnflamatuvar Barsak Hastalığında Biyolojik Tedaviler: Güncel Kanıtlar</w:t>
      </w:r>
    </w:p>
    <w:p>
      <w:pPr>
        <w:spacing w:before="0"/>
        <w:ind w:left="480"/>
      </w:pPr>
      <w:r>
        <w:rPr>
          <w:i/>
          <w:color w:val="888888"/>
          <w:sz w:val="17"/>
        </w:rPr>
        <w:t>(Biologic therapies in inflammatory bowel disease: updated evidence)</w:t>
      </w:r>
    </w:p>
    <w:p>
      <w:pPr>
        <w:spacing w:before="40" w:after="120"/>
        <w:ind w:left="480"/>
      </w:pPr>
      <w:r>
        <w:rPr>
          <w:sz w:val="20"/>
        </w:rPr>
        <w:t>İBH'da ustekinumab ve vedolizumab'ın uzun dönem etkinlik ve güvenlik verileri olumlu seyretmekte; özellikle anti-TNF başarısızlığı sonrası üst sıra tedavi seçenekleri olarak güçlü destek görmektedir. UpToDate tedavi algoritması güncellendi.</w:t>
      </w:r>
    </w:p>
    <w:p>
      <w:pPr>
        <w:spacing w:before="120"/>
      </w:pPr>
      <w:r>
        <w:rPr>
          <w:b/>
          <w:color w:val="1A5F9E"/>
          <w:sz w:val="22"/>
        </w:rPr>
        <w:t xml:space="preserve">3. </w:t>
      </w:r>
      <w:r>
        <w:rPr>
          <w:b/>
          <w:color w:val="1A5F9E"/>
          <w:sz w:val="22"/>
        </w:rPr>
        <w:t>Helikobakter Pilori: Güncel Eradikasyon Rejimleri</w:t>
      </w:r>
    </w:p>
    <w:p>
      <w:pPr>
        <w:spacing w:before="0"/>
        <w:ind w:left="480"/>
      </w:pPr>
      <w:r>
        <w:rPr>
          <w:i/>
          <w:color w:val="888888"/>
          <w:sz w:val="17"/>
        </w:rPr>
        <w:t>(Helicobacter pylori: updated eradication regimens)</w:t>
      </w:r>
    </w:p>
    <w:p>
      <w:pPr>
        <w:spacing w:before="40" w:after="120"/>
        <w:ind w:left="480"/>
      </w:pPr>
      <w:r>
        <w:rPr>
          <w:sz w:val="20"/>
        </w:rPr>
        <w:t>Artan antibiyotik direnci nedeniyle bizmut içeren dörtlü tedavi ve kısa süreli rifabutin bazlı rejimler, ampirik birinci basamak tedavi olarak üçlü tedavinin önüne geçmektedir. UpToDate rejim seçimini yerel direnç paternlerine göre yapmayı önermektedir.</w:t>
      </w:r>
    </w:p>
    <w:p/>
    <w:p>
      <w:pPr>
        <w:pStyle w:val="Heading1"/>
        <w:jc w:val="left"/>
      </w:pPr>
      <w:r>
        <w:rPr>
          <w:color w:val="1A5F9E"/>
          <w:sz w:val="28"/>
        </w:rPr>
        <w:t>Pulmoner ve Yoğun Bakım</w:t>
      </w:r>
    </w:p>
    <w:p>
      <w:pPr>
        <w:spacing w:before="120"/>
      </w:pPr>
      <w:r>
        <w:rPr>
          <w:b/>
          <w:color w:val="1A5F9E"/>
          <w:sz w:val="22"/>
        </w:rPr>
        <w:t xml:space="preserve">1. </w:t>
      </w:r>
      <w:r>
        <w:rPr>
          <w:b/>
          <w:color w:val="1A5F9E"/>
          <w:sz w:val="22"/>
        </w:rPr>
        <w:t>Güncellenmiş Surviving Sepsis Campaign Kılavuzu (2024)</w:t>
      </w:r>
    </w:p>
    <w:p>
      <w:pPr>
        <w:spacing w:before="0"/>
        <w:ind w:left="480"/>
      </w:pPr>
      <w:r>
        <w:rPr>
          <w:i/>
          <w:color w:val="888888"/>
          <w:sz w:val="17"/>
        </w:rPr>
        <w:t>(Updated international Surviving Sepsis Campaign guidelines (2024))</w:t>
      </w:r>
    </w:p>
    <w:p>
      <w:pPr>
        <w:spacing w:before="40" w:after="120"/>
        <w:ind w:left="480"/>
      </w:pPr>
      <w:r>
        <w:rPr>
          <w:sz w:val="20"/>
        </w:rPr>
        <w:t>2024 tarihli güncel kılavuz, sepsiste erken antibiyotik başlanması, norepinefrin birinci basamak vazopressör olarak kullanımı ve düşük doz kortikosteroid önerilerini yeniden ele almaktadır. UpToDate yönetim önerileri bu güncellemeye göre revize edildi.</w:t>
      </w:r>
    </w:p>
    <w:p>
      <w:pPr>
        <w:spacing w:before="120"/>
      </w:pPr>
      <w:r>
        <w:rPr>
          <w:b/>
          <w:color w:val="1A5F9E"/>
          <w:sz w:val="22"/>
        </w:rPr>
        <w:t xml:space="preserve">2. </w:t>
      </w:r>
      <w:r>
        <w:rPr>
          <w:b/>
          <w:color w:val="1A5F9E"/>
          <w:sz w:val="22"/>
        </w:rPr>
        <w:t>KOAH'ta Üçlü İnhaler Tedavisi</w:t>
      </w:r>
    </w:p>
    <w:p>
      <w:pPr>
        <w:spacing w:before="0"/>
        <w:ind w:left="480"/>
      </w:pPr>
      <w:r>
        <w:rPr>
          <w:i/>
          <w:color w:val="888888"/>
          <w:sz w:val="17"/>
        </w:rPr>
        <w:t>(Triple inhaler therapy in COPD)</w:t>
      </w:r>
    </w:p>
    <w:p>
      <w:pPr>
        <w:spacing w:before="40" w:after="120"/>
        <w:ind w:left="480"/>
      </w:pPr>
      <w:r>
        <w:rPr>
          <w:sz w:val="20"/>
        </w:rPr>
        <w:t>IMPACT ve ETHOS çalışmaları, triple inhaler tedavisinin (ICS/LABA/LAMA) semptomatik KOAH'ta ölüm dahil tüm nedenlere bağlı mortaliteyi azalttığını göstermiştir. UpToDate, yüksek riskli KOAH hastalarında üçlü tedaviyi erken aşamada önermektedir.</w:t>
      </w:r>
    </w:p>
    <w:p/>
    <w:p>
      <w:pPr>
        <w:pStyle w:val="Heading1"/>
        <w:jc w:val="left"/>
      </w:pPr>
      <w:r>
        <w:rPr>
          <w:color w:val="1A5F9E"/>
          <w:sz w:val="28"/>
        </w:rPr>
        <w:t>Romatoloji</w:t>
      </w:r>
    </w:p>
    <w:p>
      <w:pPr>
        <w:spacing w:before="120"/>
      </w:pPr>
      <w:r>
        <w:rPr>
          <w:b/>
          <w:color w:val="1A5F9E"/>
          <w:sz w:val="22"/>
        </w:rPr>
        <w:t xml:space="preserve">1. </w:t>
      </w:r>
      <w:r>
        <w:rPr>
          <w:b/>
          <w:color w:val="1A5F9E"/>
          <w:sz w:val="22"/>
        </w:rPr>
        <w:t>Romatoid Artrit Tedavisinde JAK İnhibitörleri: Güncellenmiş Güvenlik Profili</w:t>
      </w:r>
    </w:p>
    <w:p>
      <w:pPr>
        <w:spacing w:before="0"/>
        <w:ind w:left="480"/>
      </w:pPr>
      <w:r>
        <w:rPr>
          <w:i/>
          <w:color w:val="888888"/>
          <w:sz w:val="17"/>
        </w:rPr>
        <w:t>(JAK inhibitors in rheumatoid arthritis: updated safety profile)</w:t>
      </w:r>
    </w:p>
    <w:p>
      <w:pPr>
        <w:spacing w:before="40" w:after="120"/>
        <w:ind w:left="480"/>
      </w:pPr>
      <w:r>
        <w:rPr>
          <w:sz w:val="20"/>
        </w:rPr>
        <w:t>ORAL Surveillance çalışması verilerine dayanan FDA ve EMA uyarıları, JAK inhibitörlerini (tofasitinib, baricitinib, upadacitinib) kardiyovasküler olay ve malignansi riski yüksek hastalarda dikkatli kullanmaya sevk etmektedir. UpToDate bu ilaçları biyolojik başarısızlığı olan seçilmiş hastalara önermektedir.</w:t>
      </w:r>
    </w:p>
    <w:p>
      <w:pPr>
        <w:spacing w:before="120"/>
      </w:pPr>
      <w:r>
        <w:rPr>
          <w:b/>
          <w:color w:val="1A5F9E"/>
          <w:sz w:val="22"/>
        </w:rPr>
        <w:t xml:space="preserve">2. </w:t>
      </w:r>
      <w:r>
        <w:rPr>
          <w:b/>
          <w:color w:val="1A5F9E"/>
          <w:sz w:val="22"/>
        </w:rPr>
        <w:t>Gut Artriti: İlaç Etkileşimi ve Ürat Düşürücü Tedavi Güncellesi</w:t>
      </w:r>
    </w:p>
    <w:p>
      <w:pPr>
        <w:spacing w:before="0"/>
        <w:ind w:left="480"/>
      </w:pPr>
      <w:r>
        <w:rPr>
          <w:i/>
          <w:color w:val="888888"/>
          <w:sz w:val="17"/>
        </w:rPr>
        <w:t>(Gout: updated urate-lowering therapy and treat-to-target approach)</w:t>
      </w:r>
    </w:p>
    <w:p>
      <w:pPr>
        <w:spacing w:before="40" w:after="120"/>
        <w:ind w:left="480"/>
      </w:pPr>
      <w:r>
        <w:rPr>
          <w:sz w:val="20"/>
        </w:rPr>
        <w:t>Gut yönetiminde hedef odaklı strateji (serum ürik asit &lt; 6 mg/dL veya toflarda &lt; 5 mg/dL) ön plana çıkmakta; allopürinol doz titrasyonu ve peglotikazın dirençli gut için rolü güncellenen kanıtlarla desteklenmektedir.</w:t>
      </w:r>
    </w:p>
    <w:p/>
    <w:p>
      <w:pPr>
        <w:pStyle w:val="Heading1"/>
        <w:jc w:val="left"/>
      </w:pPr>
      <w:r>
        <w:rPr>
          <w:color w:val="1A5F9E"/>
          <w:sz w:val="28"/>
        </w:rPr>
        <w:t>Hematoloji</w:t>
      </w:r>
    </w:p>
    <w:p>
      <w:pPr>
        <w:spacing w:before="120"/>
      </w:pPr>
      <w:r>
        <w:rPr>
          <w:b/>
          <w:color w:val="1A5F9E"/>
          <w:sz w:val="22"/>
        </w:rPr>
        <w:t xml:space="preserve">1. </w:t>
      </w:r>
      <w:r>
        <w:rPr>
          <w:b/>
          <w:color w:val="1A5F9E"/>
          <w:sz w:val="22"/>
        </w:rPr>
        <w:t>Venöz Tromboembolizmde Direkt Oral Antikoagülanlar: Uzun Dönem Tedavi</w:t>
      </w:r>
    </w:p>
    <w:p>
      <w:pPr>
        <w:spacing w:before="0"/>
        <w:ind w:left="480"/>
      </w:pPr>
      <w:r>
        <w:rPr>
          <w:i/>
          <w:color w:val="888888"/>
          <w:sz w:val="17"/>
        </w:rPr>
        <w:t>(Direct oral anticoagulants for extended VTE treatment)</w:t>
      </w:r>
    </w:p>
    <w:p>
      <w:pPr>
        <w:spacing w:before="40" w:after="120"/>
        <w:ind w:left="480"/>
      </w:pPr>
      <w:r>
        <w:rPr>
          <w:sz w:val="20"/>
        </w:rPr>
        <w:t>DOAKlar (rivaroksaban, apiksaban), uzatılmış VTE tedavisinde standart bakım olarak yerini pekiştirmiştir. Kanser ilişkili VTE'de edoksaban ve rivaroksaban, düşük kanama riski olan hastalarda DMAH'ye tercih edilmektedir.</w:t>
      </w:r>
    </w:p>
    <w:p>
      <w:pPr>
        <w:spacing w:before="120"/>
      </w:pPr>
      <w:r>
        <w:rPr>
          <w:b/>
          <w:color w:val="1A5F9E"/>
          <w:sz w:val="22"/>
        </w:rPr>
        <w:t xml:space="preserve">2. </w:t>
      </w:r>
      <w:r>
        <w:rPr>
          <w:b/>
          <w:color w:val="1A5F9E"/>
          <w:sz w:val="22"/>
        </w:rPr>
        <w:t>Kronik Lenfositik Lösemide BTK İnhibitörleri</w:t>
      </w:r>
    </w:p>
    <w:p>
      <w:pPr>
        <w:spacing w:before="0"/>
        <w:ind w:left="480"/>
      </w:pPr>
      <w:r>
        <w:rPr>
          <w:i/>
          <w:color w:val="888888"/>
          <w:sz w:val="17"/>
        </w:rPr>
        <w:t>(BTK inhibitors in chronic lymphocytic leukemia: updated data)</w:t>
      </w:r>
    </w:p>
    <w:p>
      <w:pPr>
        <w:spacing w:before="40" w:after="120"/>
        <w:ind w:left="480"/>
      </w:pPr>
      <w:r>
        <w:rPr>
          <w:sz w:val="20"/>
        </w:rPr>
        <w:t>İkinci nesil BTK inhibitörleri (akalabrutinib, zanubrutinib), ibutrinibe kıyasla daha az kardiyak yan etki profili sunmakta ve birinci basamak KLL tedavisinde etkili olduğu giderek artan kanıtlarla desteklenmektedir.</w:t>
      </w:r>
    </w:p>
    <w:p/>
    <w:p>
      <w:pPr>
        <w:pStyle w:val="Heading1"/>
        <w:jc w:val="left"/>
      </w:pPr>
      <w:r>
        <w:rPr>
          <w:color w:val="1A5F9E"/>
          <w:sz w:val="28"/>
        </w:rPr>
        <w:t>Enfeksiyon Hastalıkları</w:t>
      </w:r>
    </w:p>
    <w:p>
      <w:pPr>
        <w:spacing w:before="120"/>
      </w:pPr>
      <w:r>
        <w:rPr>
          <w:b/>
          <w:color w:val="1A5F9E"/>
          <w:sz w:val="22"/>
        </w:rPr>
        <w:t xml:space="preserve">1. </w:t>
      </w:r>
      <w:r>
        <w:rPr>
          <w:b/>
          <w:color w:val="1A5F9E"/>
          <w:sz w:val="22"/>
        </w:rPr>
        <w:t>Yaşlı Yetişkinler için Güncellenmiş RSV Aşılama Önerileri</w:t>
      </w:r>
    </w:p>
    <w:p>
      <w:pPr>
        <w:spacing w:before="0"/>
        <w:ind w:left="480"/>
      </w:pPr>
      <w:r>
        <w:rPr>
          <w:i/>
          <w:color w:val="888888"/>
          <w:sz w:val="17"/>
        </w:rPr>
        <w:t>(Updated RSV vaccination recommendations for older adults)</w:t>
      </w:r>
    </w:p>
    <w:p>
      <w:pPr>
        <w:spacing w:before="40" w:after="120"/>
        <w:ind w:left="480"/>
      </w:pPr>
      <w:r>
        <w:rPr>
          <w:sz w:val="20"/>
        </w:rPr>
        <w:t>ACIP artık ≥75 yaş tüm erişkinlere ve ağır RSV riski taşıyan 60-74 yaş yetişkinlere tek doz RSV aşısı önermektedir. Üç aşı seçeneği mevcuttur (Abrysvo, Arexvy, mRESVIA).</w:t>
      </w:r>
    </w:p>
    <w:p>
      <w:pPr>
        <w:spacing w:before="120"/>
      </w:pPr>
      <w:r>
        <w:rPr>
          <w:b/>
          <w:color w:val="1A5F9E"/>
          <w:sz w:val="22"/>
        </w:rPr>
        <w:t xml:space="preserve">2. </w:t>
      </w:r>
      <w:r>
        <w:rPr>
          <w:b/>
          <w:color w:val="1A5F9E"/>
          <w:sz w:val="22"/>
        </w:rPr>
        <w:t>Cinsel Yolla Bulaşan Enfeksiyonlar İçin Doksisiklin Maruziyet Sonrası Profilaksi (Doxy-PEP)</w:t>
      </w:r>
    </w:p>
    <w:p>
      <w:pPr>
        <w:spacing w:before="0"/>
        <w:ind w:left="480"/>
      </w:pPr>
      <w:r>
        <w:rPr>
          <w:i/>
          <w:color w:val="888888"/>
          <w:sz w:val="17"/>
        </w:rPr>
        <w:t>(Doxycycline post-exposure prophylaxis for sexually transmitted infections)</w:t>
      </w:r>
    </w:p>
    <w:p>
      <w:pPr>
        <w:spacing w:before="40" w:after="120"/>
        <w:ind w:left="480"/>
      </w:pPr>
      <w:r>
        <w:rPr>
          <w:sz w:val="20"/>
        </w:rPr>
        <w:t>Doxy-PEP (kondomsuz cinsel ilişki sonrası 72 saat içinde 200 mg doksisiklin), erkeklerin erkeklerle seks yaptığı ve transgender kadınlarda bakteriyel CYB insidansını yaklaşık %65 azaltmaktadır. CDC yüksek riskli bireylere bu profilaksiyi önermektedir.</w:t>
      </w:r>
    </w:p>
    <w:p>
      <w:pPr>
        <w:spacing w:before="120"/>
      </w:pPr>
      <w:r>
        <w:rPr>
          <w:b/>
          <w:color w:val="1A5F9E"/>
          <w:sz w:val="22"/>
        </w:rPr>
        <w:t xml:space="preserve">3. </w:t>
      </w:r>
      <w:r>
        <w:rPr>
          <w:b/>
          <w:color w:val="1A5F9E"/>
          <w:sz w:val="22"/>
        </w:rPr>
        <w:t>COVID-19 Tedavisinde Nirmatrelvir/Ritonavir (Paxlovid): Güncel Kanıtlar</w:t>
      </w:r>
    </w:p>
    <w:p>
      <w:pPr>
        <w:spacing w:before="0"/>
        <w:ind w:left="480"/>
      </w:pPr>
      <w:r>
        <w:rPr>
          <w:i/>
          <w:color w:val="888888"/>
          <w:sz w:val="17"/>
        </w:rPr>
        <w:t>(Nirmatrelvir-ritonavir (Paxlovid) for COVID-19: updated evidence)</w:t>
      </w:r>
    </w:p>
    <w:p>
      <w:pPr>
        <w:spacing w:before="40" w:after="120"/>
        <w:ind w:left="480"/>
      </w:pPr>
      <w:r>
        <w:rPr>
          <w:sz w:val="20"/>
        </w:rPr>
        <w:t>Nirmatrelvir/ritonavir, hastaneye yatış açısından yüksek riskli aşısız veya bağışıklığı baskılanmış hastalarda ağır hastalık ve ölümü azaltmaya devam etmektedir. İlaç etkileşimleri ve rebound COVID-19 olguları göz önünde bulundurulmalıdır.</w:t>
      </w:r>
    </w:p>
    <w:p/>
    <w:p>
      <w:pPr>
        <w:pStyle w:val="Heading1"/>
        <w:jc w:val="left"/>
      </w:pPr>
      <w:r>
        <w:rPr>
          <w:color w:val="1A5F9E"/>
          <w:sz w:val="28"/>
        </w:rPr>
        <w:t>Nöroloji</w:t>
      </w:r>
    </w:p>
    <w:p>
      <w:pPr>
        <w:spacing w:before="120"/>
      </w:pPr>
      <w:r>
        <w:rPr>
          <w:b/>
          <w:color w:val="1A5F9E"/>
          <w:sz w:val="22"/>
        </w:rPr>
        <w:t xml:space="preserve">1. </w:t>
      </w:r>
      <w:r>
        <w:rPr>
          <w:b/>
          <w:color w:val="1A5F9E"/>
          <w:sz w:val="22"/>
        </w:rPr>
        <w:t>Migren Önlenmesinde CGRP Antagonistleri</w:t>
      </w:r>
    </w:p>
    <w:p>
      <w:pPr>
        <w:spacing w:before="0"/>
        <w:ind w:left="480"/>
      </w:pPr>
      <w:r>
        <w:rPr>
          <w:i/>
          <w:color w:val="888888"/>
          <w:sz w:val="17"/>
        </w:rPr>
        <w:t>(CGRP antagonists for migraine prevention)</w:t>
      </w:r>
    </w:p>
    <w:p>
      <w:pPr>
        <w:spacing w:before="40" w:after="120"/>
        <w:ind w:left="480"/>
      </w:pPr>
      <w:r>
        <w:rPr>
          <w:sz w:val="20"/>
        </w:rPr>
        <w:t>Anti-CGRP monoklonal antikorları (erenumab, fremanezumab, galkanezumab) hem epizodik hem kronik migrende aylık baş ağrısı günlerini anlamlı ölçüde azaltmaktadır. UpToDate bu sınıfı standart profilaktik tedavilere yetersiz yanıt veren hastalarda birinci seçenek olarak önermektedir.</w:t>
      </w:r>
    </w:p>
    <w:p>
      <w:pPr>
        <w:spacing w:before="120"/>
      </w:pPr>
      <w:r>
        <w:rPr>
          <w:b/>
          <w:color w:val="1A5F9E"/>
          <w:sz w:val="22"/>
        </w:rPr>
        <w:t xml:space="preserve">2. </w:t>
      </w:r>
      <w:r>
        <w:rPr>
          <w:b/>
          <w:color w:val="1A5F9E"/>
          <w:sz w:val="22"/>
        </w:rPr>
        <w:t>İskemik İnmede Mekanik Trombektomi: Genişletilmiş Zaman Penceresi</w:t>
      </w:r>
    </w:p>
    <w:p>
      <w:pPr>
        <w:spacing w:before="0"/>
        <w:ind w:left="480"/>
      </w:pPr>
      <w:r>
        <w:rPr>
          <w:i/>
          <w:color w:val="888888"/>
          <w:sz w:val="17"/>
        </w:rPr>
        <w:t>(Mechanical thrombectomy in ischemic stroke: extended time window)</w:t>
      </w:r>
    </w:p>
    <w:p>
      <w:pPr>
        <w:spacing w:before="40" w:after="120"/>
        <w:ind w:left="480"/>
      </w:pPr>
      <w:r>
        <w:rPr>
          <w:sz w:val="20"/>
        </w:rPr>
        <w:t>DAWN ve DEFUSE 3 çalışmalarının ardından trombektomi için zaman penceresi görüntüleme rehberliğinde 24 saate uzatılmıştır. UpToDate, penumbra kanıtı olan seçilmiş hastalarda bu tedaviyi desteklemektedir.</w:t>
      </w:r>
    </w:p>
    <w:p/>
    <w:p>
      <w:pPr>
        <w:pStyle w:val="Heading1"/>
        <w:jc w:val="left"/>
      </w:pPr>
      <w:r>
        <w:rPr>
          <w:color w:val="1A5F9E"/>
          <w:sz w:val="28"/>
        </w:rPr>
        <w:t>Onkoloji</w:t>
      </w:r>
    </w:p>
    <w:p>
      <w:pPr>
        <w:spacing w:before="120"/>
      </w:pPr>
      <w:r>
        <w:rPr>
          <w:b/>
          <w:color w:val="1A5F9E"/>
          <w:sz w:val="22"/>
        </w:rPr>
        <w:t xml:space="preserve">1. </w:t>
      </w:r>
      <w:r>
        <w:rPr>
          <w:b/>
          <w:color w:val="1A5F9E"/>
          <w:sz w:val="22"/>
        </w:rPr>
        <w:t>Küçük Hücreli Dışı Akciğer Kanserinde İmmünoterapi + Kemoterapi Kombine Tedavisi</w:t>
      </w:r>
    </w:p>
    <w:p>
      <w:pPr>
        <w:spacing w:before="0"/>
        <w:ind w:left="480"/>
      </w:pPr>
      <w:r>
        <w:rPr>
          <w:i/>
          <w:color w:val="888888"/>
          <w:sz w:val="17"/>
        </w:rPr>
        <w:t>(Immunotherapy plus chemotherapy in non-small cell lung cancer)</w:t>
      </w:r>
    </w:p>
    <w:p>
      <w:pPr>
        <w:spacing w:before="40" w:after="120"/>
        <w:ind w:left="480"/>
      </w:pPr>
      <w:r>
        <w:rPr>
          <w:sz w:val="20"/>
        </w:rPr>
        <w:t>PD-1/PD-L1 inhibitörleri ile kemoterapi kombinasyonu, metastatik KHDAK'de standart birinci basamak tedavi olarak yerini pekiştirmiştir. PD-L1 %50 ve üzerinde tek ajan pembrolizumab tercih edilmekte, daha düşük ekspresyonda kombinasyon stratejileri önerilmektedir.</w:t>
      </w:r>
    </w:p>
    <w:p>
      <w:pPr>
        <w:spacing w:before="120"/>
      </w:pPr>
      <w:r>
        <w:rPr>
          <w:b/>
          <w:color w:val="1A5F9E"/>
          <w:sz w:val="22"/>
        </w:rPr>
        <w:t xml:space="preserve">2. </w:t>
      </w:r>
      <w:r>
        <w:rPr>
          <w:b/>
          <w:color w:val="1A5F9E"/>
          <w:sz w:val="22"/>
        </w:rPr>
        <w:t>HER2 Pozitif Meme Kanserinde Yeni Hedefe Yönelik Tedaviler</w:t>
      </w:r>
    </w:p>
    <w:p>
      <w:pPr>
        <w:spacing w:before="0"/>
        <w:ind w:left="480"/>
      </w:pPr>
      <w:r>
        <w:rPr>
          <w:i/>
          <w:color w:val="888888"/>
          <w:sz w:val="17"/>
        </w:rPr>
        <w:t>(Novel targeted therapies in HER2-positive breast cancer)</w:t>
      </w:r>
    </w:p>
    <w:p>
      <w:pPr>
        <w:spacing w:before="40" w:after="120"/>
        <w:ind w:left="480"/>
      </w:pPr>
      <w:r>
        <w:rPr>
          <w:sz w:val="20"/>
        </w:rPr>
        <w:t>Trastuzumab derukstekan (T-DXd), HER2 pozitif metastatik meme kanserinde DESTINY-Breast çalışmalarında üstün sağkalım sonuçları göstermiş olup ikinci basamak tedavide ado-trastuzumab emtansine (T-DM1) yerini almaktadır.</w:t>
      </w:r>
    </w:p>
    <w:p/>
    <w:p>
      <w:pPr>
        <w:pBdr>
          <w:bottom w:val="single" w:sz="6" w:space="1" w:color="1A5F9E"/>
        </w:pBdr>
      </w:pPr>
    </w:p>
    <w:p/>
    <w:p>
      <w:pPr>
        <w:jc w:val="center"/>
      </w:pPr>
      <w:r>
        <w:rPr>
          <w:i/>
          <w:color w:val="888888"/>
          <w:sz w:val="16"/>
        </w:rPr>
        <w:t>Toplam 29 konu — UpToDate® What's New bölümünden derlenmiştir (Wolters Kluwer Health). Klinik karar için daima orijinal kaynağa başvurun.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