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0D2137"/>
          <w:sz w:val="40"/>
          <w:szCs w:val="40"/>
        </w:rPr>
        <w:t xml:space="preserve">TURKHEKİM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KİŞİSEL VERİLERİN KORUNMASI KANUNU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E7C7B"/>
          <w:sz w:val="28"/>
          <w:szCs w:val="28"/>
        </w:rPr>
        <w:t xml:space="preserve">AYDINLATMA METNİ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718096"/>
          <w:sz w:val="20"/>
          <w:szCs w:val="20"/>
        </w:rPr>
        <w:t xml:space="preserve">6698 Sayılı Kanun'un 10. Maddesi Kapsamında</w:t>
      </w:r>
    </w:p>
    <w:p>
      <w:pPr>
        <w:pBdr>
          <w:bottom w:val="single" w:color="CBD5E0" w:sz="4"/>
        </w:pBdr>
        <w:spacing w:after="160" w:before="160"/>
      </w:pPr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0D2137"/>
          <w:sz w:val="26"/>
          <w:szCs w:val="26"/>
        </w:rPr>
        <w:t xml:space="preserve">1. Veri Sorumlusunun Kimliği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İşbu Aydınlatma Metni, 6698 sayılı Kişisel Verilerin Korunması Kanunu'nun ("KVKK") 10. maddesi uyarınca TurkHekim ("Platform" veya "Veri Sorumlusu") tarafından hazırlanmıştır.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Platform; hekimler ve hastalar arasında bilgi köprüsü kuran bağımsız bir dijital rehber hizmetidir. Sağlık hizmeti sunucusu niteliği taşımamaktadır.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0D2137"/>
          <w:sz w:val="26"/>
          <w:szCs w:val="26"/>
        </w:rPr>
        <w:t xml:space="preserve">2. İşlenen Kişisel Veriler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  <w:u w:val="single"/>
        </w:rPr>
        <w:t xml:space="preserve">A) Doktor Kullanıcılar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›  Kimlik: Ad, soyad, unvan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›  İletişim: E-posta adresi, telefon numarası, şehir/ilçe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›  Mesleki bilgi: Uzmanlık alanı, deneyim süresi, çalışılan kurum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›  Finansal: Muayene ücreti (isteğe bağlı)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›  Görsel: Profil fotoğrafı (isteğe bağlı)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›  Güvenlik: Şifrelenmiş parola (bcrypt — orijinale erişim teknik olarak imkânsızdır)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  <w:u w:val="single"/>
        </w:rPr>
        <w:t xml:space="preserve">B) Hasta / Ziyaretçi Kullanıcılar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›  Kimlik: Ad soyad (yorum bırakırken)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›  İletişim: Telefon numarası (hash'lenmiş olarak saklanır; orijinal forma erişilemez)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›  Teknik: IP adresi (kötüye kullanım tespiti için; 24 saat sonra silinir)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›  Çerez verileri: Oturum çerezleri, tercihler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0D2137"/>
          <w:sz w:val="26"/>
          <w:szCs w:val="26"/>
        </w:rPr>
        <w:t xml:space="preserve">3. Kişisel Verilerin İşlenme Amaçları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Kişisel verileriniz aşağıdaki amaçlarla KVKK'nın 5. ve 6. maddeleri kapsamında işlenmektedir: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›  Doktor profillerinin oluşturulması ve kamuoyuyla paylaşılması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›  Yorum doğrulama süreçlerinin yürütülmesi ve sahte yorum önlenmesi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›  Platform güvenliğinin sağlanması ve kötüye kullanımın tespiti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›  Rate limiting uygulaması ile hizmetin sürekliliğinin korunması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›  Yasal yükümlülüklerin yerine getirilmesi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›  İstatistiksel analizler (anonim olarak)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0D2137"/>
          <w:sz w:val="26"/>
          <w:szCs w:val="26"/>
        </w:rPr>
        <w:t xml:space="preserve">4. Kişisel Verilerin İşlenmesinin Hukuki Dayanağı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D213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İşleme Amacı</w:t>
            </w:r>
          </w:p>
        </w:tc>
        <w:tc>
          <w:tcPr>
            <w:shd w:color="0D2137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Hukuki Dayanak (KVKK Md. 5)</w:t>
            </w:r>
          </w:p>
        </w:tc>
      </w:tr>
      <w:tr>
        <w:tc>
          <w:tcPr>
            <w:shd w:color="F7FAFC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Doktor profili oluşturma</w:t>
            </w:r>
          </w:p>
        </w:tc>
        <w:tc>
          <w:tcPr>
            <w:shd w:color="F7FAFC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Sözleşmenin kurulması ve ifası (Md. 5/2-c)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Yorum doğrulama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Meşru menfaat (Md. 5/2-f)</w:t>
            </w:r>
          </w:p>
        </w:tc>
      </w:tr>
      <w:tr>
        <w:tc>
          <w:tcPr>
            <w:shd w:color="F7FAFC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Güvenlik / rate limiting</w:t>
            </w:r>
          </w:p>
        </w:tc>
        <w:tc>
          <w:tcPr>
            <w:shd w:color="F7FAFC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Meşru menfaat (Md. 5/2-f)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IP adresi işleme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Meşru menfaat (Md. 5/2-f)</w:t>
            </w:r>
          </w:p>
        </w:tc>
      </w:tr>
      <w:tr>
        <w:tc>
          <w:tcPr>
            <w:shd w:color="F7FAFC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Profil fotoğrafı</w:t>
            </w:r>
          </w:p>
        </w:tc>
        <w:tc>
          <w:tcPr>
            <w:shd w:color="F7FAFC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Açık rıza (Md. 5/1)</w:t>
            </w:r>
          </w:p>
        </w:tc>
      </w:tr>
    </w:tbl>
    <w:p>
      <w:r>
        <w:t xml:space="preserve"/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0D2137"/>
          <w:sz w:val="26"/>
          <w:szCs w:val="26"/>
        </w:rPr>
        <w:t xml:space="preserve">5. Kişisel Verilerin Aktarılması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Kişisel verileriniz üçüncü taraflara satılmaz ve ticari amaçla paylaşılmaz. Yalnızca aşağıdaki veri işleyenlerle teknik zorunluluk kapsamında paylaşılmaktadır: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›  Vercel Inc. (ABD) — Hosting ve sunucu altyapısı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›  Neon Inc. (ABD) — Veritabanı yönetimi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2D3748"/>
          <w:sz w:val="22"/>
          <w:szCs w:val="22"/>
        </w:rPr>
        <w:t xml:space="preserve">Yurt dışına aktarım, KVKK'nın 9. maddesi kapsamında değerlendirilmekte olup kullanıcılar platforma kaydolarak bu aktarıma onay vermektedir.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0D2137"/>
          <w:sz w:val="26"/>
          <w:szCs w:val="26"/>
        </w:rPr>
        <w:t xml:space="preserve">6. Kişisel Verilerin Saklanma Süreleri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›  Doktor hesap bilgileri: Hesabın aktif olduğu süre + 2 yıl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›  Hasta yorumları: Süresiz (platform şeffaflık ilkesi gereği)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›  Hash'lenmiş telefon numaraları: Yorum ile birlikte süresiz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›  IP adresi logları: 24 saat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›  Çerez verileri: Oturum süresi veya maksimum 1 yıl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0D2137"/>
          <w:sz w:val="26"/>
          <w:szCs w:val="26"/>
        </w:rPr>
        <w:t xml:space="preserve">7. İlgili Kişinin Hakları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KVKK'nın 11. maddesi uyarınca aşağıdaki haklara sahipsiniz: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›  Kişisel verilerinizin işlenip işlenmediğini öğrenme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›  İşlenmişse buna ilişkin bilgi talep etme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›  İşlenme amacını ve amaca uygun kullanım bilgisi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›  Yurt içi veya yurt dışında aktarıldığı üçüncü kişileri bilme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›  Eksik veya yanlış işlenmişse düzeltilmesini isteme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›  KVKK'nın 7. maddesindeki şartlar çerçevesinde silinmesini talep etme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›  Otomatik sistemler aracılığıyla aleyhinize sonuç doğuruyorsa itiraz etme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›  Kanuna aykırı işleme nedeniyle zararın giderilmesini talep etme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Bu haklarınızı kullanmak için: kvkk@turkhekim.com adresine yazabilirsiniz. Başvurular 30 gün içinde yanıtlanır.</w:t>
      </w:r>
    </w:p>
    <w:p>
      <w:pPr>
        <w:spacing w:after="120" w:before="360"/>
      </w:pPr>
      <w:r>
        <w:rPr>
          <w:rFonts w:ascii="Calibri" w:cs="Calibri" w:eastAsia="Calibri" w:hAnsi="Calibri"/>
          <w:b/>
          <w:bCs/>
          <w:color w:val="0D2137"/>
          <w:sz w:val="26"/>
          <w:szCs w:val="26"/>
        </w:rPr>
        <w:t xml:space="preserve">8. Çerez (Cookie) Politikası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Platform aşağıdaki çerezleri kullanmaktadır: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›  Oturum çerezi (zorunlu): Doktor girişi için, tarayıcı kapatılınca silinir</w:t>
      </w:r>
    </w:p>
    <w:p>
      <w:pPr>
        <w:spacing w:after="80"/>
        <w:ind w:left="72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›  Admin çerezi (zorunlu): Admin paneli erişimi, 24 saat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3748"/>
          <w:sz w:val="22"/>
          <w:szCs w:val="22"/>
        </w:rPr>
        <w:t xml:space="preserve">Analitik veya reklam çerezi kullanılmamaktadır.</w:t>
      </w:r>
    </w:p>
    <w:p>
      <w:pPr>
        <w:pBdr>
          <w:bottom w:val="single" w:color="CBD5E0" w:sz="4"/>
        </w:pBdr>
        <w:spacing w:after="160" w:before="16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718096"/>
          <w:sz w:val="22"/>
          <w:szCs w:val="22"/>
        </w:rPr>
        <w:t xml:space="preserve">Bu metin en son Mart 2026 tarihinde güncellenmiştir.</w:t>
      </w:r>
    </w:p>
    <w:sectPr>
      <w:pgSz w:w="11906" w:h="16838" w:orient="portrait"/>
      <w:pgMar w:top="1584" w:right="1872" w:bottom="1584" w:left="187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2026-03-18T23:47:09.663Z</dcterms:created>
  <dcterms:modified xsi:type="dcterms:W3CDTF">2026-03-18T23:47:09.663Z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