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0D2137"/>
          <w:sz w:val="52"/>
          <w:szCs w:val="52"/>
        </w:rPr>
        <w:t xml:space="preserve">TurkHekim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E7C7B"/>
          <w:sz w:val="32"/>
          <w:szCs w:val="32"/>
        </w:rPr>
        <w:t xml:space="preserve">Yasal Uyumluluk Rehberi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Mart 2026  |  Gizli — Yalnızca İç Kullanım</w:t>
      </w:r>
    </w:p>
    <w:p>
      <w:pPr>
        <w:shd w:color="FFF8E1" w:val="solid"/>
        <w:spacing w:after="160" w:before="160"/>
        <w:ind w:left="431" w:right="431"/>
      </w:pPr>
      <w:r>
        <w:rPr>
          <w:rFonts w:ascii="Calibri" w:cs="Calibri" w:eastAsia="Calibri" w:hAnsi="Calibri"/>
          <w:i/>
          <w:iCs/>
          <w:color w:val="92400E"/>
          <w:sz w:val="20"/>
          <w:szCs w:val="20"/>
        </w:rPr>
        <w:t xml:space="preserve">⚠️  Bu belge genel bilgi amaçlıdır; avukatlık hizmeti değildir. Resmi işlemler için mutlaka uzman bir avukattan danışmanlık alınız.</w:t>
      </w:r>
    </w:p>
    <w:p>
      <w:pPr>
        <w:pBdr>
          <w:bottom w:val="single" w:color="E2E8F0" w:sz="6"/>
        </w:pBdr>
        <w:spacing w:after="100" w:before="100"/>
      </w:pPr>
      <w: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D2137"/>
          <w:sz w:val="28"/>
          <w:szCs w:val="28"/>
        </w:rPr>
        <w:t xml:space="preserve">1. Şirket Kurulumu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Reklam geliri, doktor aboneliği veya komisyon alacaksanız tüzel kişilik zorunludur.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Önerilen Yapı: Limited Şirket (Ltd. Şti.)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Asgari sermaye: 10.000 TL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Kuruluş: MERSİS → mersis.gtb.gov.tr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Vergi dairesi + SGK kaydı zorunlu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Serbest muhasebeci tutmak yasal zorunluluk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Alternatif: Şahıs Firması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Yıllık ciro ~500K TL altında başlangıç için uygundur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Kurulumu daha hızlı ve düşük maliyetli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Büyüdükçe Ltd.'ye dönüştürülebilir</w:t>
      </w:r>
    </w:p>
    <w:p>
      <w:pPr>
        <w:pBdr>
          <w:bottom w:val="single" w:color="E2E8F0" w:sz="6"/>
        </w:pBdr>
        <w:spacing w:after="100" w:before="100"/>
      </w:pPr>
      <w: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D2137"/>
          <w:sz w:val="28"/>
          <w:szCs w:val="28"/>
        </w:rPr>
        <w:t xml:space="preserve">2. Alan Adı ve Marka Tescili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Domain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turkhekim.com → GoDaddy veya Namecheap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turkhekim.com.tr → NIC.tr (ticari kayıt gerektirir)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Marka Tescili — ÖNCELİKLİ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C2626"/>
          <w:sz w:val="22"/>
          <w:szCs w:val="22"/>
        </w:rPr>
        <w:t xml:space="preserve">"TurkHekim" adını tescilsiz bırakmak ciddi risk taşır. Başkası bu markayı alabilir.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Türk Patent ve Marka Kurumu: turkpatent.gov.tr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Nice Sınıflandırması: 44. Sınıf (Sağlık hizmetleri)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Başvuru ücreti: 3.000 – 5.000 TL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Tescil süresi: 12 – 18 ay</w:t>
      </w:r>
    </w:p>
    <w:p>
      <w:pPr>
        <w:pBdr>
          <w:bottom w:val="single" w:color="E2E8F0" w:sz="6"/>
        </w:pBdr>
        <w:spacing w:after="100" w:before="100"/>
      </w:pPr>
      <w: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D2137"/>
          <w:sz w:val="28"/>
          <w:szCs w:val="28"/>
        </w:rPr>
        <w:t xml:space="preserve">3. KVKK (6698 Sayılı Kanun) — En Kritik Yükümlülük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Sağlık verileri "özel nitelikli kişisel veri" kategorisindedir. İhlal halinde 1 – 7 milyon TL idari para cezası uygulanabilir.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Yapılması Zorunlu Olanlar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VERBİS Kaydı: Büyüdükçe zorunlu hale gelir → verbis.kvkk.gov.tr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Aydınlatma Metni: Hangi veri, neden, ne kadar süre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Gizlilik Politikası: Kullanıcı haklarını (silme, düzeltme, itiraz) içermeli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Çerez Politikası: AB'ye açık olduğunuz için GDPR da geçerli olabilir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Yurt Dışı Aktarım: Vercel ve Neon ABD merkezli; açık rıza veya Kurul kararı gerekir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Mevcut Kod Riskleri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✅  Şifreler bcrypt ile hashleniyor — doğru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❌  Telefon numaraları düz metin saklanıyor — KVKK ihlali, hash'lenmeli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❌  Yorum formunda açık rıza checkbox'ı yok — eklenmeli</w:t>
      </w:r>
    </w:p>
    <w:p>
      <w:pPr>
        <w:pBdr>
          <w:bottom w:val="single" w:color="E2E8F0" w:sz="6"/>
        </w:pBdr>
        <w:spacing w:after="100" w:before="100"/>
      </w:pPr>
      <w: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D2137"/>
          <w:sz w:val="28"/>
          <w:szCs w:val="28"/>
        </w:rPr>
        <w:t xml:space="preserve">4. Sağlık Bakanlığı ve Tıbbi Mevzuat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Platform Statüsü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TurkHekim bir "sağlık hizmet sunucusu" değil, dizin/rehber platformudur. Bu ayrım kritiktir.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Doktorları bizzat tedavi etmiyorsunuz → Bakanlık ruhsatı şu an gerekmez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Randevu aracılığı aktifleştiğinde durum yeniden değerlendirilmelidir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Tıbbi Deontoloji Nizamnamesi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C2626"/>
          <w:sz w:val="22"/>
          <w:szCs w:val="22"/>
        </w:rPr>
        <w:t xml:space="preserve">Türkiye'de doktor reklamı kısıtlıdır. Aşağıdaki ifadeler kullanılamaz: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"En iyi doktor", "Türkiye'nin 1 numarası"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"Garantili tedavi", "Kesin sonuç"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Karşılaştırmalı reklamlar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Güvenli yaklaşımlar: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Yıldız puanı göstermek genel olarak sorun çıkarmaz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Profil bilgilerini doktorun kendisi girmeli (reklam değil, beyan)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Sayfaya "Bu bilgiler doktor tarafından beyan edilmiştir" notu ekleyin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Şikâyete konu yorumlar için moderasyon süreci tanımlayın</w:t>
      </w:r>
    </w:p>
    <w:p>
      <w:pPr>
        <w:pBdr>
          <w:bottom w:val="single" w:color="E2E8F0" w:sz="6"/>
        </w:pBdr>
        <w:spacing w:after="100" w:before="100"/>
      </w:pPr>
      <w: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D2137"/>
          <w:sz w:val="28"/>
          <w:szCs w:val="28"/>
        </w:rPr>
        <w:t xml:space="preserve">5. Medikal Turizm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Sağlık Turizmi Yetki Belgesi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Yabancı hastalara aktif aracılık (paket satışı, transfer) → Sağlık Bakanlığı belgesi zorunlu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Sadece bilgi/yönlendirme yapıyorsanız → şu an belge gerekmeyebilir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Başvuru: Sağlık Hizmetleri Genel Müdürlüğü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Döviz ve Ödeme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Yabancı hastalara dövizle hizmet → TCMB kambiyo mevzuatı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Doktorlardan komisyon alınıyorsa → fatura kesilmesi zorunlu</w:t>
      </w:r>
    </w:p>
    <w:p>
      <w:pPr>
        <w:pBdr>
          <w:bottom w:val="single" w:color="E2E8F0" w:sz="6"/>
        </w:pBdr>
        <w:spacing w:after="100" w:before="100"/>
      </w:pPr>
      <w: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D2137"/>
          <w:sz w:val="28"/>
          <w:szCs w:val="28"/>
        </w:rPr>
        <w:t xml:space="preserve">6. Vergi Yükümlülükleri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Platform geliri (reklam, abonelik, komisyon) → KDV'ye tabi (%20)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Doktorlara ödeme yapılıyorsa → stopaj uygulanabilir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Yıllık beyanname + üçer aylık geçici vergi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2"/>
          <w:szCs w:val="22"/>
        </w:rPr>
        <w:t xml:space="preserve">Tavsiye: İlk günden itibaren bir mali müşavirle çalışın.</w:t>
      </w:r>
    </w:p>
    <w:p>
      <w:pPr>
        <w:pBdr>
          <w:bottom w:val="single" w:color="E2E8F0" w:sz="6"/>
        </w:pBdr>
        <w:spacing w:after="100" w:before="100"/>
      </w:pPr>
      <w: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D2137"/>
          <w:sz w:val="28"/>
          <w:szCs w:val="28"/>
        </w:rPr>
        <w:t xml:space="preserve">7. Siteye Eklenmesi Gereken Sayfalar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21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Sayfa</w:t>
            </w:r>
          </w:p>
        </w:tc>
        <w:tc>
          <w:tcPr>
            <w:shd w:color="0D21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shd w:color="0D21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ourier New" w:cs="Courier New" w:eastAsia="Courier New" w:hAnsi="Courier New"/>
                <w:color w:val="0E7C7B"/>
                <w:sz w:val="18"/>
                <w:szCs w:val="18"/>
              </w:rPr>
              <w:t xml:space="preserve">/gizlilik</w:t>
            </w:r>
          </w:p>
        </w:tc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KVKK Aydınlatma Metni + Gizlilik Politikası</w:t>
            </w:r>
          </w:p>
        </w:tc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color w:val="0E7C7B"/>
                <w:sz w:val="18"/>
                <w:szCs w:val="18"/>
              </w:rPr>
              <w:t xml:space="preserve">/kullanim-kosullari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kuralları, sorumluluk reddi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ourier New" w:cs="Courier New" w:eastAsia="Courier New" w:hAnsi="Courier New"/>
                <w:color w:val="0E7C7B"/>
                <w:sz w:val="18"/>
                <w:szCs w:val="18"/>
              </w:rPr>
              <w:t xml:space="preserve">/cerez-politikasi</w:t>
            </w:r>
          </w:p>
        </w:tc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Hangi çerezler, neden kullanıldığı</w:t>
            </w:r>
          </w:p>
        </w:tc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Önerilen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color w:val="0E7C7B"/>
                <w:sz w:val="18"/>
                <w:szCs w:val="18"/>
              </w:rPr>
              <w:t xml:space="preserve">/hakkimizda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Şirket bilgileri, iletişim adresi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Önerilen</w:t>
            </w:r>
          </w:p>
        </w:tc>
      </w:tr>
      <w:tr>
        <w:tc>
          <w:tcPr>
            <w:shd w:color="F8FAFC" w:val="solid"/>
          </w:tcPr>
          <w:p>
            <w:r>
              <w:rPr>
                <w:rFonts w:ascii="Courier New" w:cs="Courier New" w:eastAsia="Courier New" w:hAnsi="Courier New"/>
                <w:color w:val="0E7C7B"/>
                <w:sz w:val="18"/>
                <w:szCs w:val="18"/>
              </w:rPr>
              <w:t xml:space="preserve">/doktor-sozlesmesi</w:t>
            </w:r>
          </w:p>
        </w:tc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Doktorların kabul ettiği kullanım koşulları</w:t>
            </w:r>
          </w:p>
        </w:tc>
        <w:tc>
          <w:tcPr>
            <w:shd w:color="F8FAFC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Önerilen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E2E8F0" w:sz="6"/>
        </w:pBdr>
        <w:spacing w:after="100" w:before="100"/>
      </w:pPr>
      <w: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0D2137"/>
          <w:sz w:val="28"/>
          <w:szCs w:val="28"/>
        </w:rPr>
        <w:t xml:space="preserve">8. Acil Eylem Planı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Siteyi yayına almadan önce mutlaka tamamlanması gerekenler: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Hemen (Bu Hafta)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/gizlilik sayfası oluştur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/kullanim-kosullari sayfası oluştur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Footer'a bu sayfaların linklerini ekle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Yorum formuna KVKK onay checkbox'ı ekle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✅  Doktor kayıt formuna kullanım koşulları onayı ekle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Kısa Vadede (1-2 Ay)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⚡  Telefon numaralarını veritabanında hashle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⚡  Şahıs firması veya Ltd. kur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⚡  Marka tescili başvurusu yap (turkpatent.gov.tr)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⚡  Mali müşavir tut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Orta Vadede (Büyüdükçe)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📋  KVKK avukatından Aydınlatma Metni hazırlat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📋  VERBİS kaydı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📋  Ltd.'ye geçiş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📋  Sağlık Turizmi Yetki Belgesi (paket satışına geçince)</w:t>
      </w:r>
    </w:p>
    <w:p>
      <w:pPr>
        <w:pBdr>
          <w:bottom w:val="single" w:color="E2E8F0" w:sz="6"/>
        </w:pBdr>
        <w:spacing w:after="100" w:before="10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Bu belge genel bilgi amaçlıdır. Hukuki bağlayıcılığı yoktur.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Sağlık hukuku ve teknoloji hukuku konularında uzman bir avukata danışınız.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2026-03-18T23:34:06.880Z</dcterms:created>
  <dcterms:modified xsi:type="dcterms:W3CDTF">2026-03-18T23:34:06.881Z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