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90" w:before="0"/>
      </w:pPr>
      <w:r>
        <w:t xml:space="preserve">WEBSITE REVIEW — FEEDBACK FOR THE DESIGN TEAM</w:t>
      </w:r>
    </w:p>
    <w:p>
      <w:pPr>
        <w:spacing w:after="40" w:before="0"/>
      </w:pPr>
      <w:r>
        <w:rPr>
          <w:b/>
          <w:bCs/>
          <w:color w:val="1F4E79"/>
          <w:sz w:val="23"/>
          <w:szCs w:val="23"/>
        </w:rPr>
        <w:t xml:space="preserve">hlcenergies.com · HLC Mozambique corporate website</w:t>
      </w:r>
    </w:p>
    <w:p>
      <w:pPr>
        <w:spacing w:after="50" w:before="0"/>
      </w:pPr>
      <w:r>
        <w:rPr>
          <w:color w:val="595959"/>
          <w:sz w:val="17"/>
          <w:szCs w:val="17"/>
        </w:rPr>
        <w:t xml:space="preserve">Internal document · July 2026</w:t>
      </w:r>
    </w:p>
    <w:p>
      <w:pPr>
        <w:pBdr>
          <w:bottom w:val="single" w:color="1F4E79" w:sz="12" w:space="2"/>
        </w:pBdr>
        <w:spacing w:after="140"/>
      </w:pPr>
    </w:p>
    <w:p>
      <w:pPr>
        <w:spacing w:after="140" w:before="0"/>
      </w:pPr>
      <w:r>
        <w:t xml:space="preserve">Overall direction is correct. The site is clean, consistent with our document system (navy, consortium model, CC1 attribution) and reads as serious rather than sales-heavy — which is exactly the goal. This is a basic, credible corporate site and should stay that way. The points below are refinements, not a redesign. Items marked CRITICAL must be fixed before we share the link with the Ministry, EDM or FUNAE.</w:t>
      </w:r>
    </w:p>
    <w:p>
      <w:pPr>
        <w:pStyle w:val="Heading1"/>
      </w:pPr>
      <w:r>
        <w:t xml:space="preserve">A. Critical fixes</w:t>
      </w:r>
    </w:p>
    <w:tbl>
      <w:tblPr>
        <w:tblW w:type="dxa" w:w="9500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BFBFBF" w:sz="2"/>
          <w:insideV w:val="single" w:color="BFBFBF" w:sz="2"/>
        </w:tblBorders>
      </w:tblPr>
      <w:tblGrid>
        <w:gridCol w:w="500"/>
        <w:gridCol w:w="4600"/>
        <w:gridCol w:w="4400"/>
      </w:tblGrid>
      <w:tr>
        <w:trPr>
          <w:tblHeader/>
        </w:trPr>
        <w:tc>
          <w:tcPr>
            <w:tcW w:type="dxa" w:w="500"/>
            <w:shd w:fill="1F4E7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1F4E7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4400"/>
            <w:shd w:fill="1F4E7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00020"/>
                <w:sz w:val="19"/>
                <w:szCs w:val="19"/>
              </w:rPr>
              <w:t xml:space="preserve">Vague / placeholder data on project cards. </w:t>
            </w:r>
            <w:r>
              <w:rPr>
                <w:b w:val="false"/>
                <w:bCs w:val="false"/>
                <w:sz w:val="19"/>
                <w:szCs w:val="19"/>
              </w:rPr>
              <w:t xml:space="preserve">Dakr Tih shows "output stated as 635 million per year" — no unit. Nghi Son 2 has no scale/capacity. This looks unfinished.</w:t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Correct to "635 million kWh/year". Add Nghi Son 2 capacity (2×600 MW, 2017–2021). Every card must show consistent fields: capacity, location, period.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00020"/>
                <w:sz w:val="19"/>
                <w:szCs w:val="19"/>
              </w:rPr>
              <w:t xml:space="preserve">Legal name vs brand name not explained. </w:t>
            </w:r>
            <w:r>
              <w:rPr>
                <w:b w:val="false"/>
                <w:bCs w:val="false"/>
                <w:sz w:val="19"/>
                <w:szCs w:val="19"/>
              </w:rPr>
              <w:t xml:space="preserve">Header/hero says "HLC Mozambique"; footer and legal name are "HLC Renewable Energies and Infrastructures, LDA".</w:t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 the About section add one line: "HLC Mozambique is the trading name of HLC Renewable Energies and Infrastructures, LDA." Removes any doubt for an official reader checking the NUIT.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00020"/>
                <w:sz w:val="19"/>
                <w:szCs w:val="19"/>
              </w:rPr>
              <w:t xml:space="preserve">Stock imagery undermines credibility. </w:t>
            </w:r>
            <w:r>
              <w:rPr>
                <w:b w:val="false"/>
                <w:bCs w:val="false"/>
                <w:sz w:val="19"/>
                <w:szCs w:val="19"/>
              </w:rPr>
              <w:t xml:space="preserve">Several images are generic Unsplash photos (hero, substations, solar, institutional). Serious buyers recognise stock instantly.</w:t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Replace with: (a) real CC1 project photos (with caption "Executed by CC1"), and (b) real HLC Mozambique photos once the Maputo shoot is done. Where no real photo exists, prefer a map or a clean navy panel over stock.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00020"/>
                <w:sz w:val="19"/>
                <w:szCs w:val="19"/>
              </w:rPr>
              <w:t xml:space="preserve">CC1 project photos need attribution on the website too. </w:t>
            </w:r>
            <w:r>
              <w:rPr>
                <w:b w:val="false"/>
                <w:bCs w:val="false"/>
                <w:sz w:val="19"/>
                <w:szCs w:val="19"/>
              </w:rPr>
              <w:t xml:space="preserve">The project cards show CC1 works but do not label them as CC1.</w:t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a visible caption/tag "Executed by CC1 — Consortium technical partner" on each reference-project card. Same legal rule as the printed profile.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00020"/>
                <w:sz w:val="19"/>
                <w:szCs w:val="19"/>
              </w:rPr>
              <w:t xml:space="preserve">Contact completeness. </w:t>
            </w:r>
            <w:r>
              <w:rPr>
                <w:b w:val="false"/>
                <w:bCs w:val="false"/>
                <w:sz w:val="19"/>
                <w:szCs w:val="19"/>
              </w:rPr>
              <w:t xml:space="preserve">Only an email is shown; no phone number. A company with no phone number reads as not yet operational.</w:t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at least one phone number (landline or mobile with +258 code). Confirm the email domain "hlmic.com" is correct and intended.</w:t>
            </w:r>
          </w:p>
        </w:tc>
      </w:tr>
    </w:tbl>
    <w:p>
      <w:pPr>
        <w:pStyle w:val="Heading1"/>
      </w:pPr>
      <w:r>
        <w:t xml:space="preserve">B. Content &amp; consistency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Project galleries: several cards show a number ("2", "3", "4") with no label — presumably a photo count. Either label it ("3 photos") or remove it; a bare number confuses the reader.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Reference projects on the site (5) are fewer than in the profile (17). Fine for a website, but choose the strongest and most relevant to Mozambique — prioritise solar, transmission and a flagship thermal plant, since the audience is the power sector (EDM/FUNAE).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Terminology mismatch between languages: PT uses "Usinas / Usina" (Brazilian Portuguese) while the rest of the site uses European Portuguese ("Central / Centrais"). Standardise on European Portuguese throughout — this is the Mozambican standard.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The "About" text is duplicated almost verbatim in the hero and the About section. Keep the hero short (one line) and let the full text live only in About.</w:t>
      </w:r>
    </w:p>
    <w:p>
      <w:pPr>
        <w:pStyle w:val="Heading1"/>
      </w:pPr>
      <w:r>
        <w:t xml:space="preserve">C. Trust signals to add (low effort, high credibility)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 short "Consortium" line near the top stating CC1’s credentials: founded 1979, 45+ years, listed company, ISO 9001/14001/45001. This is the single strongest trust signal for a new company.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 simple legal footer block: full legal name, NUIT, registered address, "Republic of Mozambique". Official visitors look for this.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Consider a one-line note that CC1 is a publicly listed Vietnamese corporation — reinforces legitimacy without overselling.</w:t>
      </w:r>
    </w:p>
    <w:p>
      <w:pPr>
        <w:pStyle w:val="Heading1"/>
      </w:pPr>
      <w:r>
        <w:t xml:space="preserve">D. Technical &amp; professionalism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Autoplay YouTube hero video: acceptable, but ensure it is muted, loops cleanly, and has a static image fallback on slow connections (common in Mozambique). If the video does not clearly show energy/infrastructure, a still image is safer.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Confirm the contact form actually delivers to a monitored inbox and shows a confirmation message on submit. A dead form on a corporate site is worse than no form.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Add a privacy note under the form (how the data is used) — expected for institutional/EU-facing audiences.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Check mobile layout: most Mozambican visitors browse on mobile. Verify menu, video and project cards render correctly on a phone.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SEO/meta already set (good). Verify the og-image files exist and show energy imagery, not mining.</w:t>
      </w:r>
    </w:p>
    <w:p>
      <w:pPr>
        <w:pStyle w:val="Heading1"/>
      </w:pPr>
      <w:r>
        <w:t xml:space="preserve">E. What to keep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Navy #1F4E79 palette and restrained, non-flashy tone — exactly right for the intended seriousness.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Clear consortium framing (HLC = local signatory; CC1 = technical partner).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Bilingual PT/EN with PT as the primary market language.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Simple, single-page structure with anchor navigation — appropriate for a basic corporate site.</w:t>
      </w:r>
    </w:p>
    <w:p>
      <w:pPr>
        <w:spacing w:after="90" w:before="140"/>
      </w:pPr>
      <w:r>
        <w:rPr>
          <w:i/>
          <w:iCs/>
          <w:color w:val="595959"/>
          <w:sz w:val="19"/>
          <w:szCs w:val="19"/>
        </w:rPr>
        <w:t xml:space="preserve">Priority order: fix Section A before sharing the link externally; Sections B–D can follow in a second pass. Portuguese copy should be proofread by a native (European Portuguese) speaker before go-live.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4E79"/>
      <w:sz w:val="32"/>
      <w:szCs w:val="32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2"/>
      </w:pBdr>
      <w:spacing w:after="100" w:before="200"/>
    </w:pPr>
    <w:rPr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2026-07-17T18:49:11.796Z</dcterms:created>
  <dcterms:modified xsi:type="dcterms:W3CDTF">2026-07-17T18:49:11.810Z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