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公司调研方法报告</w:t>
      </w:r>
    </w:p>
    <w:p>
      <w:pPr>
        <w:pStyle w:val="Subtitle"/>
      </w:pPr>
      <w:r>
        <w:t>从研究切入到证据判断与行动建议</w:t>
      </w:r>
    </w:p>
    <w:p>
      <w:r>
        <w:rPr>
          <w:sz w:val="18"/>
        </w:rPr>
        <w:t>编制日期：2026 年 9 月 26 日</w:t>
      </w:r>
    </w:p>
    <w:p>
      <w:pPr>
        <w:pStyle w:val="Heading1"/>
      </w:pPr>
      <w:r>
        <w:t>摘要</w:t>
      </w:r>
    </w:p>
    <w:p>
      <w:r>
        <w:t>公司调研的核心任务，是解释一家公司如何为特定客户创造价值、获得收入，并在竞争与资源约束下持续经营。有效的研究需要把客户、产品、渠道、成本和增长连接起来，说明哪些机制已经有证据，哪些仍然只是合理假设。</w:t>
      </w:r>
    </w:p>
    <w:p>
      <w:r>
        <w:t>本报告提炼一套可用于不同公司的调研方法。默认从“客户为什么在此时选择这家公司”切入，再沿价值交付、获客成交、收入成本、持续增长和竞争条件向下追查。研究深度由具体决策决定：最值得继续调查的，是那些一旦被澄清，就会改变判断的未知。</w:t>
      </w:r>
    </w:p>
    <w:p>
      <w:r>
        <w:t>完整方法包括三个层次。首先确定研究目的、公司阶段和业务类型，避免使用错误的评价尺度。其次用八个角度解释业务机制，并重建关键阶段的“约束—动作—证据—变化”路径。最后把证据汇总为经营判断、可迁移经验和下一步验证，保留能推翻结论的条件。</w:t>
      </w:r>
    </w:p>
    <w:p>
      <w:r>
        <w:t>读者完成报告后，应能独立写出一份研究任务书、选择调查入口、建立证据台账、解释一家公司的业务机制，并把结论转化为可以执行的调查或实验。</w:t>
      </w:r>
    </w:p>
    <w:p>
      <w:pPr>
        <w:pStyle w:val="Heading2"/>
      </w:pPr>
      <w:r>
        <w:t>方法来源与适用范围</w:t>
      </w:r>
    </w:p>
    <w:p>
      <w:r>
        <w:t>方法的起点来自 Stoody GTM Lab 的主站、公司对照、Maven 案例和建议复盘页面。本报告提取其中的阶段判断、早期路径、资源分析、机制对照和行动转化方式，并将其推广到其他公司。</w:t>
      </w:r>
      <w:hyperlink r:id="rId9">
        <w:r>
          <w:rPr>
            <w:color w:val="165D86"/>
            <w:u w:val="single"/>
          </w:rPr>
          <w:t>来源 1</w:t>
        </w:r>
      </w:hyperlink>
    </w:p>
    <w:p>
      <w:r>
        <w:t>网页呈现的是研究成品，不能据此确认作者实际使用了哪些访谈、检索顺序或内部分析工具。本报告对研究流程的组织属于方法归纳；市场测算、单位经济、因果检验和研究停止条件等内容，是为提高可复用性所作的补充。文中的 LoopDesk 是虚构教学案例，所有经营数据均为假设。</w:t>
      </w:r>
    </w:p>
    <w:p>
      <w:r>
        <w:t>本框架适合商业模式、产品策略、竞品和创业路径研究。用于证券投资、收购、合规审查或技术尽调时，还需要增加相应的估值、资本结构、法律文件、财务审计或技术验证模块。</w:t>
      </w:r>
    </w:p>
    <w:p>
      <w:pPr>
        <w:pStyle w:val="Heading2"/>
      </w:pPr>
      <w:r>
        <w:t>阅读路径</w:t>
      </w:r>
    </w:p>
    <w:p>
      <w:pPr>
        <w:ind w:left="255" w:hanging="255"/>
      </w:pPr>
      <w:r>
        <w:t>1. 第一至二章：决定研究什么，以及从哪里切入。</w:t>
      </w:r>
    </w:p>
    <w:p>
      <w:pPr>
        <w:ind w:left="255" w:hanging="255"/>
      </w:pPr>
      <w:r>
        <w:t>2. 第三至四章：建立业务全貌，按八个角度深入调查。</w:t>
      </w:r>
    </w:p>
    <w:p>
      <w:pPr>
        <w:ind w:left="255" w:hanging="255"/>
      </w:pPr>
      <w:r>
        <w:t>3. 第五至七章：重建公司路径、判断证据、开展对标。</w:t>
      </w:r>
    </w:p>
    <w:p>
      <w:pPr>
        <w:ind w:left="255" w:hanging="255"/>
      </w:pPr>
      <w:r>
        <w:t>4. 第八至九章：调整行业侧重点，并执行研究流程。</w:t>
      </w:r>
    </w:p>
    <w:p>
      <w:pPr>
        <w:ind w:left="255" w:hanging="255"/>
      </w:pPr>
      <w:r>
        <w:t>5. 第十章：通过一个虚构公司案例走完分析。</w:t>
      </w:r>
    </w:p>
    <w:p>
      <w:pPr>
        <w:ind w:left="255" w:hanging="255"/>
      </w:pPr>
      <w:r>
        <w:t>6. 第十一章及附录：检查结论质量，直接复用研究模板。</w:t>
      </w:r>
    </w:p>
    <w:p>
      <w:pPr>
        <w:pStyle w:val="Heading1"/>
      </w:pPr>
      <w:r>
        <w:t>第一章 先确定调研支持什么决定</w:t>
      </w:r>
    </w:p>
    <w:p>
      <w:pPr>
        <w:pStyle w:val="Heading2"/>
      </w:pPr>
      <w:r>
        <w:t>1.1 用决策限定研究范围</w:t>
      </w:r>
    </w:p>
    <w:p>
      <w:r>
        <w:t>同一家公司的资料可以支持完全不同的问题。研究它如何获得第一批客户，需要早期销售记录；判断它能否持续增长，需要留存、经济性和竞争信息；考虑合作，则需要交付能力、双方职责和依赖关系。</w:t>
      </w:r>
    </w:p>
    <w:p>
      <w:r>
        <w:t>开始之前，写清五项内容：研究对象及业务边界、需要支持的决定、备选方案、决策期限，以及希望解决的主要未知。研究对象应尽量落到具体业务或客户群。大型集团的不同业务可能具有不同客户、利润来源和增长条件，不能用一个总平均值解释所有业务。</w:t>
      </w:r>
    </w:p>
    <w:p>
      <w:r>
        <w:t>一个有效的任务描述是：“判断某企业软件是否值得借鉴其早期获客方式，重点研究前两年如何触达客户、完成首单和缩短销售周期。”相比“全面分析这家公司”，这个问题更容易决定资料取舍和完成标准。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871"/>
        <w:gridCol w:w="3798"/>
        <w:gridCol w:w="3969"/>
      </w:tblGrid>
      <w:tr>
        <w:trPr>
          <w:cantSplit/>
          <w:tblHeader/>
        </w:trPr>
        <w:tc>
          <w:tcPr>
            <w:tcW w:type="dxa" w:w="1871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研究目的</w:t>
            </w:r>
          </w:p>
        </w:tc>
        <w:tc>
          <w:tcPr>
            <w:tcW w:type="dxa" w:w="3798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优先回答的问题</w:t>
            </w:r>
          </w:p>
        </w:tc>
        <w:tc>
          <w:tcPr>
            <w:tcW w:type="dxa" w:w="3969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应交付的结论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学习创业路径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首批客户从哪里来，哪些动作减少了不确定性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可迁移机制及其前提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竞争策略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客户在什么情境下选择或放弃它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差异、替代关系与防御条件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产品机会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哪项任务仍未被现有方案解决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客户、场景与最小验证方案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合作判断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双方如何共同创造价值，谁承担交付责任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合作条件、成本与依赖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经营诊断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哪个环节限制收入、利润或质量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关键约束与改进顺序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pStyle w:val="Heading2"/>
      </w:pPr>
      <w:r>
        <w:t>1.2 根据公司阶段调整尺度</w:t>
      </w:r>
    </w:p>
    <w:p>
      <w:r>
        <w:t>早期公司最重要的未知可能是有人是否愿意购买；成长公司可能已经有需求，却无法控制交付成本。成熟公司则需要研究收入来源的持续性、资源配置和替代压力。研究者应先识别阶段，再决定指标权重。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871"/>
        <w:gridCol w:w="3798"/>
        <w:gridCol w:w="3969"/>
      </w:tblGrid>
      <w:tr>
        <w:trPr>
          <w:cantSplit/>
          <w:tblHeader/>
        </w:trPr>
        <w:tc>
          <w:tcPr>
            <w:tcW w:type="dxa" w:w="1871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公司阶段</w:t>
            </w:r>
          </w:p>
        </w:tc>
        <w:tc>
          <w:tcPr>
            <w:tcW w:type="dxa" w:w="3798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首要未知</w:t>
            </w:r>
          </w:p>
        </w:tc>
        <w:tc>
          <w:tcPr>
            <w:tcW w:type="dxa" w:w="3969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优先证据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问题探索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痛点是否真实且足够重要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客户过去的行为、替代方案、损失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初次交付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产品能否解决问题，客户是否愿意付费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实际使用、付款、结果与退款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重复经营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成功能否在下一批客户中再现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分批客户的转化、留存、成本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规模扩张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增长是否超过组织和交付承载能力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渠道效率、容量、质量、现金需求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成熟或转型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旧优势能否延续或进入新业务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客户迁移、竞争、利润结构、能力缺口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阶段并不总是按公司成立年限划分。一家经营十年的公司推出新业务，仍可能处于问题探索阶段；同一家公司的销售已经规模化，也可能仍未解决盈利问题。</w:t>
      </w:r>
    </w:p>
    <w:p>
      <w:pPr>
        <w:pStyle w:val="Heading2"/>
      </w:pPr>
      <w:r>
        <w:t>1.3 定义研究完成标准</w:t>
      </w:r>
    </w:p>
    <w:p>
      <w:r>
        <w:t>研究完成时，应能解释客户选择、价值产生、收入成本和主要约束；关键结论应有可追溯的依据，缺失信息应明确保留。篇幅、引用数量和访谈人数都不能单独代表研究质量。</w:t>
      </w:r>
    </w:p>
    <w:p>
      <w:r>
        <w:t>一个实用的完成标准是：别人能根据报告知道该采取什么决定、为什么这样判断、什么证据会改变判断，以及还需承担哪些未知。</w:t>
      </w:r>
    </w:p>
    <w:p>
      <w:pPr>
        <w:pStyle w:val="Heading1"/>
      </w:pPr>
      <w:r>
        <w:t>第二章 从客户选择切入</w:t>
      </w:r>
    </w:p>
    <w:p>
      <w:pPr>
        <w:pStyle w:val="Heading2"/>
      </w:pPr>
      <w:r>
        <w:t>2.1 先填完一张交易描述</w:t>
      </w:r>
    </w:p>
    <w:p>
      <w:r>
        <w:t>默认入口是一句话：“当某类客户遇到某个问题时，他原本采用某种办法；现在选择这家公司，因为它带来某种改善，并愿意付出一定的金钱、时间或迁移成本。”</w:t>
      </w:r>
    </w:p>
    <w:p>
      <w:r>
        <w:t>这句话中的每个空白都是调查线索。客户不清楚，应先研究细分人群；替代方案不清楚，应观察原有流程；价值改善不清楚，应研究实际使用；支付不清楚，应核对购买人与预算。</w:t>
      </w:r>
    </w:p>
    <w:p>
      <w:r>
        <w:t>这种切入方式使产品、团队和技术进入同一条解释链。研究创始人的行业经历，是为了判断他是否更容易理解客户；研究算法，是为了判断它是否改善效果或成本；研究渠道，是为了判断目标客户能否被持续触达。</w:t>
      </w:r>
    </w:p>
    <w:p>
      <w:pPr>
        <w:pStyle w:val="Heading2"/>
      </w:pPr>
      <w:r>
        <w:t>2.2 调查购买触发而非抽象偏好</w:t>
      </w:r>
    </w:p>
    <w:p>
      <w:r>
        <w:t>“对效率感兴趣”不能解释一次购买。“月末结算延误影响了回款，负责人必须在下个月之前改进流程”则包含触发事件、损失、负责人和期限。</w:t>
      </w:r>
    </w:p>
    <w:p>
      <w:r>
        <w:t>访谈应尽量回到最近一次真实事件：当时发生了什么，谁开始寻找方案，试过哪些办法，花了多少时间或钱，为什么没有继续用原来的工具。客户对过去行动的描述，通常比对未来购买意愿的泛泛表态更可核对。</w:t>
      </w:r>
    </w:p>
    <w:p>
      <w:r>
        <w:t>也需要记录不购买。客户可能认可产品，却没有预算、迁移能力或紧迫性；这些原因指向不同的业务问题。不要把所有拒绝都归为“价格太高”。</w:t>
      </w:r>
    </w:p>
    <w:p>
      <w:pPr>
        <w:pStyle w:val="Heading2"/>
      </w:pPr>
      <w:r>
        <w:t>2.3 什么时候更换入口</w:t>
      </w:r>
    </w:p>
    <w:p>
      <w:r>
        <w:t>客户选择适合作为默认入口，但研究中发现的异常会改变优先级。异常只是调查起点，不能直接当成原因。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871"/>
        <w:gridCol w:w="3798"/>
        <w:gridCol w:w="3969"/>
      </w:tblGrid>
      <w:tr>
        <w:trPr>
          <w:cantSplit/>
          <w:tblHeader/>
        </w:trPr>
        <w:tc>
          <w:tcPr>
            <w:tcW w:type="dxa" w:w="1871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观察到的现象</w:t>
            </w:r>
          </w:p>
        </w:tc>
        <w:tc>
          <w:tcPr>
            <w:tcW w:type="dxa" w:w="3798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优先深入的角度</w:t>
            </w:r>
          </w:p>
        </w:tc>
        <w:tc>
          <w:tcPr>
            <w:tcW w:type="dxa" w:w="3969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应排查的其他解释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试用很多，付费很少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购买理由、付款者、转化流程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流量不匹配、试用未获得价值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新增收入增长，流失也高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留存、客户分层、承诺与交付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新渠道引入低质量客户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客户满意，公司不赚钱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定价、服务工时、定制化成本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早期一次性投入较高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产品效果好，成交困难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采购流程、信任、部署与迁移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需求优先级不足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扩张后投诉上升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容量、质量控制、供应与组织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客户结构或使用场景变化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大客户贡献大部分收入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集中度、议价权、定制依赖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大客户也可能带来稳定规模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对每个候选问题，问一次：“弄清楚它，会不会改变建议？”能改变建议、影响较大且有办法验证的问题，应优先调查。</w:t>
      </w:r>
    </w:p>
    <w:p>
      <w:pPr>
        <w:pStyle w:val="Heading1"/>
      </w:pPr>
      <w:r>
        <w:t>第三章 建立公司业务的整体地图</w:t>
      </w:r>
    </w:p>
    <w:p>
      <w:pPr>
        <w:pStyle w:val="Heading2"/>
      </w:pPr>
      <w:r>
        <w:t>3.1 先画一次价值与资金流动</w:t>
      </w:r>
    </w:p>
    <w:p>
      <w:r>
        <w:t>业务地图至少要包含客户、付款者、公司、主要供给方和分发渠道。标出价值流向谁、钱由谁支付、谁承担交付成本，以及谁控制客户关系。</w:t>
      </w:r>
    </w:p>
    <w:p>
      <w:r>
        <w:t>业务主线可以写为：客户问题 → 触达与购买 → 产品交付 → 客户结果 → 留存或再次购买。供给资源支撑交付，收入支付经营成本；只有部分客户结果会转化为转介绍、品牌或产品改进，是否形成反馈循环需要另行验证。</w:t>
      </w:r>
    </w:p>
    <w:p>
      <w:r>
        <w:t>平台业务要分别画出买方和卖方；广告业务要区分用户和广告主；企业软件要区分使用者、管理员、采购者和预算负责人。不要为了图面简洁，把实际存在的多方关系合成一个“客户”。</w:t>
      </w:r>
    </w:p>
    <w:p>
      <w:pPr>
        <w:pStyle w:val="Heading2"/>
      </w:pPr>
      <w:r>
        <w:t>3.2 使用八个角度解释业务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871"/>
        <w:gridCol w:w="3798"/>
        <w:gridCol w:w="3969"/>
      </w:tblGrid>
      <w:tr>
        <w:trPr>
          <w:cantSplit/>
          <w:tblHeader/>
        </w:trPr>
        <w:tc>
          <w:tcPr>
            <w:tcW w:type="dxa" w:w="1871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角度</w:t>
            </w:r>
          </w:p>
        </w:tc>
        <w:tc>
          <w:tcPr>
            <w:tcW w:type="dxa" w:w="3798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核心问题</w:t>
            </w:r>
          </w:p>
        </w:tc>
        <w:tc>
          <w:tcPr>
            <w:tcW w:type="dxa" w:w="3969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必须形成的产物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客户与需求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谁为什么需要它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客户与购买场景描述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产品与价值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改善通过什么机制发生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使用前后与验收标准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起点与资源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为什么该团队能启动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资源及其实际作用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获客与成交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客户怎样知道、相信并购买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来源可追踪的转化链路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收入与成本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谁付钱，交付后留下什么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收入结构与单位经济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留存与增长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客户为什么留下，下一轮如何改善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分批客户表现与反馈机制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竞争与壁垒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替代者为何难以夺走价值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优势条件及失效方式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阶段与约束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当前最限制发展的是什么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主判断与下一步验证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这八个角度共同描述公司的运行方式。市场、行业和外部环境贯穿其中：市场决定客户规模，行业结构影响议价权，技术变化影响替代方案，政策或基础设施变化可能改变交付条件。</w:t>
      </w:r>
    </w:p>
    <w:p>
      <w:pPr>
        <w:pStyle w:val="Heading1"/>
      </w:pPr>
      <w:r>
        <w:t>第四章 八个角度的具体调查方法</w:t>
      </w:r>
    </w:p>
    <w:p>
      <w:pPr>
        <w:pStyle w:val="Heading2"/>
      </w:pPr>
      <w:r>
        <w:t>4.1 客户与需求</w:t>
      </w:r>
    </w:p>
    <w:p>
      <w:r>
        <w:t>首先定义细分客户。角色、能力、组织规模、触发事件和预算来源，往往比年龄或“高端用户”等标签更能解释购买。理想客户画像，即 ICP，应描述最适合当前产品的一类客户，并说明哪些人暂不适合。</w:t>
      </w:r>
    </w:p>
    <w:p>
      <w:r>
        <w:t>区分使用者、受益者、决策者和付款者。在企业业务中，员工可能获得效率收益，部门负责人决定采用，采购与安全团队审批，预算则由另一个部门承担。公司需要同时解决使用价值和购买流程问题。</w:t>
      </w:r>
    </w:p>
    <w:p>
      <w:r>
        <w:t>调查重点包括问题频率、严重程度、现有解决成本、紧迫性、可触达性和预算。证据优先来自真实工作记录、现有采购、替代工具、客户访谈和失败交易。问“最后一次怎么处理”，比只问“你需要什么功能”更容易发现真实限制。</w:t>
      </w:r>
    </w:p>
    <w:p>
      <w:r>
        <w:t>市场规模要从符合条件且可触达的客户开始估算。可以用“符合条件的组织数 × 合理年度支出”构造需求情景，再检查付费比例、销售能力和交付容量。人口数量、行业总支出和网站访问量，不能直接当成可获得收入。</w:t>
      </w:r>
    </w:p>
    <w:p>
      <w:r>
        <w:t>该角度应产出：一个明确客户群、一个购买触发、现有替代方案及其不足，以及需求证据的强弱。对于市场估计，保留区间、假设和口径，避免用单个精确数字掩盖未知。</w:t>
      </w:r>
    </w:p>
    <w:p>
      <w:pPr>
        <w:pStyle w:val="Heading2"/>
      </w:pPr>
      <w:r>
        <w:t>4.2 产品与价值</w:t>
      </w:r>
    </w:p>
    <w:p>
      <w:r>
        <w:t>产品分析应解释客户状态如何变化。把主张写成“某个客户在某种条件下，通过某项关键动作获得某种改善”，然后检查每个环节是否存在证据。</w:t>
      </w:r>
    </w:p>
    <w:p>
      <w:r>
        <w:t>研究真实使用路径：首次获得价值需要多久，需要输入哪些资料，谁配置产品，在哪一步容易失败，失败后谁补救。帮助文档、演示、实际使用观察、工单和实施记录，往往能补充宣传页省略的工作。</w:t>
      </w:r>
    </w:p>
    <w:p>
      <w:r>
        <w:t>建立结果标准。例如，节省时间需要包含复核与返工；提高准确率需要定义任务、样本和错误代价；提高销售额需要考虑价格、渠道和季节变化。客户满意可以支持体验判断，不能独立证明财务收益或因果效果。</w:t>
      </w:r>
    </w:p>
    <w:p>
      <w:r>
        <w:t>同时寻找反例：哪类客户没有获得价值，哪类任务仍需人工，哪些成功需要特殊配置。产品适用边界越清楚，越容易判断扩张是否会稀释结果。</w:t>
      </w:r>
    </w:p>
    <w:p>
      <w:r>
        <w:t>该角度应产出：使用前后对照、关键价值机制、验收指标和适用边界。功能清单可以保留为资料附录，但不应替代价值分析。</w:t>
      </w:r>
    </w:p>
    <w:p>
      <w:pPr>
        <w:pStyle w:val="Heading2"/>
      </w:pPr>
      <w:r>
        <w:t>4.3 起点与资源</w:t>
      </w:r>
    </w:p>
    <w:p>
      <w:r>
        <w:t>创始人履历、关系、技术、供应链和品牌，只有进入经营动作后才构成实际优势。逐项追问资源解决了什么困难，是否已经投入业务，以及其他团队能否获得类似资源。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871"/>
        <w:gridCol w:w="3798"/>
        <w:gridCol w:w="3969"/>
      </w:tblGrid>
      <w:tr>
        <w:trPr>
          <w:cantSplit/>
          <w:tblHeader/>
        </w:trPr>
        <w:tc>
          <w:tcPr>
            <w:tcW w:type="dxa" w:w="1871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资源</w:t>
            </w:r>
          </w:p>
        </w:tc>
        <w:tc>
          <w:tcPr>
            <w:tcW w:type="dxa" w:w="3798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可能降低的困难</w:t>
            </w:r>
          </w:p>
        </w:tc>
        <w:tc>
          <w:tcPr>
            <w:tcW w:type="dxa" w:w="3969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应核对的证据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行业经验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需求理解、采购沟通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具体判断、早期客户反馈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客户关系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首批触达与试点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介绍来源、成交记录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自有受众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分发与信任建立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可触达人数、实际转化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技术与知识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效果、成本或交付能力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对照测试、专有流程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供应链与伙伴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供给、产能和履约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合作条件、实际容量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资金与组织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持续试验和服务能力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可用资源、投入期限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区分接触资源与控制资源。认识某位专家，不等于拥有其固定投入；一次合作，不等于可持续渠道；融资可以延长试验时间，但不能替代客户价值。</w:t>
      </w:r>
    </w:p>
    <w:p>
      <w:r>
        <w:t>还应区分起步优势与持续优势。创始人的人脉可能解释第一批客户，却不能证明陌生客户也会购买。早期手工交付可能有效，却需要额外能力才能规模化。</w:t>
      </w:r>
    </w:p>
    <w:p>
      <w:r>
        <w:t>该角度应产出资源承诺表，记录控制者、实际投入、持续时间、替代难度和证据。不要只排列团队 Logo 或过往职位。</w:t>
      </w:r>
    </w:p>
    <w:p>
      <w:pPr>
        <w:pStyle w:val="Heading2"/>
      </w:pPr>
      <w:r>
        <w:t>4.4 获客与成交</w:t>
      </w:r>
    </w:p>
    <w:p>
      <w:r>
        <w:t>重建一位客户从发现公司到付款的过程，区分曝光、有效线索、试用、激活、报价和成交。每个环节都要明确事件定义、客户分母和观察窗口。</w:t>
      </w:r>
    </w:p>
    <w:p>
      <w:r>
        <w:t>来源归因应区分公司渠道、创始人渠道、客户推荐和合作方渠道。一次联合活动成功，可能主要由合作方贡献；如果归因不清，就无法判断公司自身的获客能力。</w:t>
      </w:r>
    </w:p>
    <w:p>
      <w:r>
        <w:t>进一步研究成交工作量。是否需要多次演示、定制方案、内部审批和安全审查？销售周期是否与客户规模有关？哪些客户在实施前付款，哪些要先免费试点？这些差异会影响成本和现金流。</w:t>
      </w:r>
    </w:p>
    <w:p>
      <w:r>
        <w:t>漏斗之间必须使用可比人群。某个月新增线索不能直接与另一个历史批次成交数相除；同一客户重复提交也不应被计为多个独立机会。样本很小时，报告绝对数量及其背景，避免把单次比例当成稳定参数。</w:t>
      </w:r>
    </w:p>
    <w:p>
      <w:r>
        <w:t>该角度应产出带来源和耗时的转化链路，以及主要流失原因。若只拿到公开数据，应把渠道机制与实际转化效率分别标注。</w:t>
      </w:r>
    </w:p>
    <w:p>
      <w:pPr>
        <w:pStyle w:val="Heading2"/>
      </w:pPr>
      <w:r>
        <w:t>4.5 收入与成本</w:t>
      </w:r>
    </w:p>
    <w:p>
      <w:r>
        <w:t>先说明谁为哪项价值、按什么单位、以什么频率付钱。订阅、按次、按席位、项目制、广告和交易抽成，对增长与成本的要求不同，不能只用总收入比较。</w:t>
      </w:r>
    </w:p>
    <w:p>
      <w:r>
        <w:t>区分订单金额、收款、会计收入、经常性收入和利润。平台交易额通常不能直接视作平台留存收入；融资和资助也不能等同客户付款。年度预收款改善现金时间分布，但对应的服务责任仍然存在。</w:t>
      </w:r>
    </w:p>
    <w:p>
      <w:r>
        <w:t>做一个与决策匹配的单位经济模型：收入减去可归属的交付、支持、交易和使用成本，再单列获客、实施及固定费用。科目是否计入毛利或贡献，应写清口径，不把教学模型冒充正式会计利润。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871"/>
        <w:gridCol w:w="3798"/>
        <w:gridCol w:w="3969"/>
      </w:tblGrid>
      <w:tr>
        <w:trPr>
          <w:cantSplit/>
          <w:tblHeader/>
        </w:trPr>
        <w:tc>
          <w:tcPr>
            <w:tcW w:type="dxa" w:w="1871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798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本报告采用的分析口径</w:t>
            </w:r>
          </w:p>
        </w:tc>
        <w:tc>
          <w:tcPr>
            <w:tcW w:type="dxa" w:w="3969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使用限制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单位月贡献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月收入减去明确列出的可变服务成本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尚未扣除的费用必须列明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获客成本 CAC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对应客户批次的销售营销投入除以新增付费客户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需要匹配时间和渠道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简化回收期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待回收前期投入除以稳定月贡献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依赖客户持续付费及贡献稳定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收入留存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同一批客户期末收入除以期初收入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说明扩张、降级和流失口径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生命周期价值 LTV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生命周期内贡献的估计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短历史、小样本不宜机械外推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再问客户增加一倍时，哪些成本会同步增加。人工服务、物流、推理、审核和售后都可能构成容量约束。增长有时改善单位成本，也可能引入更复杂的客户和更高服务负担。</w:t>
      </w:r>
    </w:p>
    <w:p>
      <w:r>
        <w:t>该角度应产出收入结构、成本结构、关键敏感变量与现金压力。即使无法拿到真实财务，也可以做明确标注的情景分析；不要把估计写成已知经营事实。</w:t>
      </w:r>
    </w:p>
    <w:p>
      <w:pPr>
        <w:pStyle w:val="Heading2"/>
      </w:pPr>
      <w:r>
        <w:t>4.6 留存与增长</w:t>
      </w:r>
    </w:p>
    <w:p>
      <w:r>
        <w:t>先研究同一客户为何继续使用或再次购买。持续价值、产品嵌入工作流、迁移成本和合同锁定都可能影响留存，它们的商业意义不同。订阅尚未到期，也不能自动视作客户愿意续约。</w:t>
      </w:r>
    </w:p>
    <w:p>
      <w:r>
        <w:t>按相近进入时间、客户类型和渠道观察批次表现。激活、使用深度、续费、扩张、流失与回流，应与产品的自然使用周期对应。低频产品不一定需要高日活；高频产品的一次购买也不足以证明长期使用。</w:t>
      </w:r>
    </w:p>
    <w:p>
      <w:r>
        <w:t>再检查上一轮业务留下了什么。客户成果可能带来推荐，交付经验可能成为模板，新增供给可能改善匹配。每一条反馈关系都应说明中间机制、衡量方式和失败条件。</w:t>
      </w:r>
    </w:p>
    <w:p>
      <w:r>
        <w:t>增长循环可以写成“输入—业务动作—产出—重新进入输入”。若产出并没有提高下一轮效率或价值，它更接近线性流程。更多数据只有被有效使用并产生可测改善时，才可能强化业务。</w:t>
      </w:r>
    </w:p>
    <w:p>
      <w:r>
        <w:t>该角度应产出留存原因、客户批次表现、增长反馈图，以及已验证和待验证的箭头。不要把五个带箭头的方框直接视为网络效应。</w:t>
      </w:r>
    </w:p>
    <w:p>
      <w:pPr>
        <w:pStyle w:val="Heading2"/>
      </w:pPr>
      <w:r>
        <w:t>4.7 竞争与壁垒</w:t>
      </w:r>
    </w:p>
    <w:p>
      <w:r>
        <w:t>竞争分析从客户的备选方案出发，包括直接产品、内部开发、人工处理、外包和继续忍受问题。真正的替代关系取决于客户任务，不取决于公司是否自称属于同一行业。</w:t>
      </w:r>
    </w:p>
    <w:p>
      <w:r>
        <w:t>按效果、总成本、采用门槛、风险、信任和迁移难度比较。竞争对照表应使用同一客户场景，否则不同业务的优点可能被错误相加，产生一个现实中不存在的“最好产品”。</w:t>
      </w:r>
    </w:p>
    <w:p>
      <w:r>
        <w:t>把优势写成可检验机制。例如，“客户更换系统需要重新配置大量业务流程”比“粘性强”具体；“相同任务的交付成本持续较低”比“技术领先”更容易调查。还要解释竞争者为什么不能快速复制，以及客户是否真正重视这种差异。</w:t>
      </w:r>
    </w:p>
    <w:p>
      <w:r>
        <w:t>外部依赖也可能削弱优势。平台规则、关键供应商、少数大客户或通用技术的变化，都可能改变公司与其他参与者的议价关系。必要时画出价值链，判断公司创造的价值有多少最终由自己保留。</w:t>
      </w:r>
    </w:p>
    <w:p>
      <w:r>
        <w:t>该角度应产出替代方案矩阵、优势的形成机制、维持成本与失效条件。融资规模和功能数量可以提供背景，但不能独立证明护城河。</w:t>
      </w:r>
    </w:p>
    <w:p>
      <w:pPr>
        <w:pStyle w:val="Heading2"/>
      </w:pPr>
      <w:r>
        <w:t>4.8 阶段与约束</w:t>
      </w:r>
    </w:p>
    <w:p>
      <w:r>
        <w:t>将前七个角度汇总，区分已经证明、有初步信号、未知和出现反证的事项。一个公司可能在需求上较强，在获客或经济性上仍然薄弱，不宜只给一个模糊的总分。</w:t>
      </w:r>
    </w:p>
    <w:p>
      <w:r>
        <w:t>识别关键约束时，构造反事实：“假设明天这个问题被解决，目标指标是否会明显改善？”如果订单翻倍只会放大交付亏损，缺流量就可能不是当前最重要的约束。</w:t>
      </w:r>
    </w:p>
    <w:p>
      <w:r>
        <w:t>约束可以来自需求、信任、渠道、交付、单位经济、资金或组织。确定主判断后，保留合理的替代解释，并指出需要什么资料才能区分它们。</w:t>
      </w:r>
    </w:p>
    <w:p>
      <w:r>
        <w:t>该角度应产出一项主要经营判断、少量关键依赖，以及能够改变判断的证据。建议强度应与证据强度相匹配。</w:t>
      </w:r>
    </w:p>
    <w:p>
      <w:pPr>
        <w:pStyle w:val="Heading1"/>
      </w:pPr>
      <w:r>
        <w:t>第五章 重建公司的关键路径</w:t>
      </w:r>
    </w:p>
    <w:p>
      <w:pPr>
        <w:pStyle w:val="Heading2"/>
      </w:pPr>
      <w:r>
        <w:t>5.1 记录当时的信息和选择</w:t>
      </w:r>
    </w:p>
    <w:p>
      <w:r>
        <w:t>历史分析应尽量回到公司作出决定时的条件。今天成功的结果，不能反向证明早期每一步都是正确选择。保留尝试过但没有继续的方向，有助于理解机会成本和偶然性。</w:t>
      </w:r>
    </w:p>
    <w:p>
      <w:r>
        <w:t>每个关键阶段记录五项：当时的约束、可选方案、实际动作、随后出现的证据，以及下一阶段的变化。成立、融资和发布可以作为时间锚点，但真正要解释的是业务机制发生了什么变化。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907"/>
        <w:gridCol w:w="1984"/>
        <w:gridCol w:w="2154"/>
        <w:gridCol w:w="2098"/>
        <w:gridCol w:w="2494"/>
      </w:tblGrid>
      <w:tr>
        <w:trPr>
          <w:cantSplit/>
          <w:tblHeader/>
        </w:trPr>
        <w:tc>
          <w:tcPr>
            <w:tcW w:type="dxa" w:w="907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984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当时的约束</w:t>
            </w:r>
          </w:p>
        </w:tc>
        <w:tc>
          <w:tcPr>
            <w:tcW w:type="dxa" w:w="2154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实际动作</w:t>
            </w:r>
          </w:p>
        </w:tc>
        <w:tc>
          <w:tcPr>
            <w:tcW w:type="dxa" w:w="2098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后续证据</w:t>
            </w:r>
          </w:p>
        </w:tc>
        <w:tc>
          <w:tcPr>
            <w:tcW w:type="dxa" w:w="2494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可支持的解释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阶段一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客户不愿更换旧流程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提供辅助接入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试点开始使用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采用门槛可能下降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阶段二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实施占用大量人力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标准化配置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部分客户工时下降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特定场景可以复用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阶段三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小客户流失较多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调整目标客户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需观察新批次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目前仍是待验证选择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表中内容为结构示例。真实研究应补上公司、日期和来源，不能用通用步骤填补历史空白。</w:t>
      </w:r>
    </w:p>
    <w:p>
      <w:pPr>
        <w:pStyle w:val="Heading2"/>
      </w:pPr>
      <w:r>
        <w:t>5.2 区分顺序与因果</w:t>
      </w:r>
    </w:p>
    <w:p>
      <w:r>
        <w:t>“上线新功能之后收入增长”首先是时间关系。增长也可能来自促销、大客户、渠道或市场变化。要支持功能导致增长，需要更贴近机制的证据，例如功能使用与转化的变化、可比批次或有控制的测试。</w:t>
      </w:r>
    </w:p>
    <w:p>
      <w:r>
        <w:t>无法建立强因果证据时，可以写“与该解释一致”“公司将增长归因于此”“仍不能排除其他因素”。限定语应对应具体缺口，而不是用模糊措辞掩盖没有证据。</w:t>
      </w:r>
    </w:p>
    <w:p>
      <w:pPr>
        <w:pStyle w:val="Heading2"/>
      </w:pPr>
      <w:r>
        <w:t>5.3 不把分析结构当成严格历史</w:t>
      </w:r>
    </w:p>
    <w:p>
      <w:r>
        <w:t>来源网页把公司路径整理为若干连续步骤，便于比较，但真实业务可能并行发展。Maven 帮助中心关于长期一对一招生的例子明确发生在 altMBA；它可以支持创始人的相关经验，不能直接作为 Maven 自己的同一段经营史。</w:t>
      </w:r>
      <w:hyperlink r:id="rId10">
        <w:r>
          <w:rPr>
            <w:color w:val="165D86"/>
            <w:u w:val="single"/>
          </w:rPr>
          <w:t>来源 5</w:t>
        </w:r>
      </w:hyperlink>
    </w:p>
    <w:p>
      <w:r>
        <w:t>Uplimit 的 2022 年早期资料已经提及 AI 个性化和企业客户。因此，“先个人课程、再 AI、再企业”的图示适合作为能力演进的分析归纳，不能未经补证就写成完全分离的时间阶段。</w:t>
      </w:r>
      <w:hyperlink r:id="rId11">
        <w:r>
          <w:rPr>
            <w:color w:val="165D86"/>
            <w:u w:val="single"/>
          </w:rPr>
          <w:t>来源 6</w:t>
        </w:r>
      </w:hyperlink>
    </w:p>
    <w:p>
      <w:pPr>
        <w:pStyle w:val="Heading1"/>
      </w:pPr>
      <w:r>
        <w:t>第六章 建立可以审查的证据体系</w:t>
      </w:r>
    </w:p>
    <w:p>
      <w:pPr>
        <w:pStyle w:val="Heading2"/>
      </w:pPr>
      <w:r>
        <w:t>6.1 每个主张对应一条证据记录</w:t>
      </w:r>
    </w:p>
    <w:p>
      <w:r>
        <w:t>证据台账以主张为单位，而不是以网页为单位。同一篇公告可以支持融资金额，却未必支持融资原因；一份客户案例可以证明某位客户的体验，却不能代表全部客户。</w:t>
      </w:r>
    </w:p>
    <w:p>
      <w:r>
        <w:t>记录主张、对象、事件时间、资料时间、来源、具体依据、数字口径、支持范围、替代解释和下一步。来源可以是公开网页、访谈或授权取得的经营数据，但读者应能追溯到具体位置。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871"/>
        <w:gridCol w:w="3798"/>
        <w:gridCol w:w="3969"/>
      </w:tblGrid>
      <w:tr>
        <w:trPr>
          <w:cantSplit/>
          <w:tblHeader/>
        </w:trPr>
        <w:tc>
          <w:tcPr>
            <w:tcW w:type="dxa" w:w="1871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证据类型</w:t>
            </w:r>
          </w:p>
        </w:tc>
        <w:tc>
          <w:tcPr>
            <w:tcW w:type="dxa" w:w="3798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通常适合支持什么</w:t>
            </w:r>
          </w:p>
        </w:tc>
        <w:tc>
          <w:tcPr>
            <w:tcW w:type="dxa" w:w="3969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主要局限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交易和使用记录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行为发生及其数量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埋点、口径和覆盖范围可能有误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客户访谈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动机、情境和决策过程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回忆偏差、样本选择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公司公告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公司在某时披露的事实或主张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宣传选择，未必独立核验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产品文档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已描述的能力和使用要求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不等于所有客户实际采用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独立观察或测试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指定条件下的表现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环境与样本可能不具代表性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第三方转述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线索与背景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可能沿用同一原始来源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没有一种来源在所有问题上都优先。两篇媒体文章转引同一公告，只构成一个原始证据来源；官方资料也需要核对口径与局限。</w:t>
      </w:r>
    </w:p>
    <w:p>
      <w:pPr>
        <w:pStyle w:val="Heading2"/>
      </w:pPr>
      <w:r>
        <w:t>6.2 分开事实解释和建议</w:t>
      </w:r>
    </w:p>
    <w:p>
      <w:r>
        <w:t>事实回答观察到了什么。解释回答为什么可能发生。建议回答接下来应采取什么动作。三者可以相连，但不能用一个标签替代推理。</w:t>
      </w:r>
    </w:p>
    <w:p>
      <w:r>
        <w:t>例如：“某批客户完成了付款”是行为事实；“他们主要为了降低人工成本而购买”需要动机和使用证据；“公司应提高价格”还需要价值、竞争和客户反应依据。</w:t>
      </w:r>
    </w:p>
    <w:p>
      <w:r>
        <w:t>来源网页有事实与推断分层的意识，但页面分类不保证每句话都是事实。类似“资本为何相信”的内容可能是综合解释，应继续核查是否存在投资人原话或其他直接证据。</w:t>
      </w:r>
    </w:p>
    <w:p>
      <w:pPr>
        <w:pStyle w:val="Heading2"/>
      </w:pPr>
      <w:r>
        <w:t>6.3 审查数字的含义</w:t>
      </w:r>
    </w:p>
    <w:p>
      <w:r>
        <w:t>每个关键数字都检查单位、分母、时间、对象、确认方式和是否可比。注册、参加、付费、使用、完课或成功案例，分别代表不同事件。比例尤其需要分母和观察窗口。</w:t>
      </w:r>
    </w:p>
    <w:p>
      <w:r>
        <w:t>Maven 的早期公告披露的是课程销售及课程收入表现，不能据此直接计算平台公司的净收入或利润。</w:t>
      </w:r>
      <w:hyperlink r:id="rId12">
        <w:r>
          <w:rPr>
            <w:color w:val="165D86"/>
            <w:u w:val="single"/>
          </w:rPr>
          <w:t>来源 4</w:t>
        </w:r>
      </w:hyperlink>
    </w:p>
    <w:p>
      <w:r>
        <w:t>Uplimit 的完成率来自公司公告。它可以作为公司披露的结果，但单凭这一数据，不能证明 AI 带来了提升；还需要任务、用户选择和对照条件。</w:t>
      </w:r>
      <w:hyperlink r:id="rId13">
        <w:r>
          <w:rPr>
            <w:color w:val="165D86"/>
            <w:u w:val="single"/>
          </w:rPr>
          <w:t>来源 7</w:t>
        </w:r>
      </w:hyperlink>
    </w:p>
    <w:p>
      <w:pPr>
        <w:pStyle w:val="Heading2"/>
      </w:pPr>
      <w:r>
        <w:t>6.4 给结论保留证伪条件</w:t>
      </w:r>
    </w:p>
    <w:p>
      <w:r>
        <w:t>对重要判断写出至少一种可能推翻它的证据。例如，认为公司缺少需求，需要考虑它是否只是尚未触达合适客户；认为客户依赖创始人，需要检查普通销售人员是否也能成交。</w:t>
      </w:r>
    </w:p>
    <w:p>
      <w:r>
        <w:t>信心应由证据的直接性、一致性、覆盖范围和时效决定。可以采用高、中、低信心，但每个等级要解释理由。不要用看似精确的百分比或相似度分数表达未经校准的主观判断。</w:t>
      </w:r>
    </w:p>
    <w:p>
      <w:pPr>
        <w:pStyle w:val="Heading1"/>
      </w:pPr>
      <w:r>
        <w:t>第七章 选择对标并判断能否迁移</w:t>
      </w:r>
    </w:p>
    <w:p>
      <w:pPr>
        <w:pStyle w:val="Heading2"/>
      </w:pPr>
      <w:r>
        <w:t>7.1 对标一个机制</w:t>
      </w:r>
    </w:p>
    <w:p>
      <w:r>
        <w:t>先写清要比较什么：首批获客、定价、交付标准化、平台启动、企业销售或客户扩张。不同问题可以选择不同公司，不必寻找一个各方面都相似的对象。</w:t>
      </w:r>
    </w:p>
    <w:p>
      <w:r>
        <w:t>同一行业不保证可比。两家软件公司可能分别依赖自助购买和复杂企业采购；跨行业公司也可能共享渠道、信任或服务标准化机制。</w:t>
      </w:r>
    </w:p>
    <w:p>
      <w:pPr>
        <w:pStyle w:val="Heading2"/>
      </w:pPr>
      <w:r>
        <w:t>7.2 核对迁移前提</w:t>
      </w:r>
    </w:p>
    <w:p>
      <w:r>
        <w:t>对每项经验检查客户任务、购买流程、资源起点、时间窗口、成本结构和组织能力。某个动作在原公司有效，只说明它在特定条件下可能有用。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324"/>
        <w:gridCol w:w="7313"/>
      </w:tblGrid>
      <w:tr>
        <w:trPr>
          <w:cantSplit/>
          <w:tblHeader/>
        </w:trPr>
        <w:tc>
          <w:tcPr>
            <w:tcW w:type="dxa" w:w="2324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迁移问题</w:t>
            </w:r>
          </w:p>
        </w:tc>
        <w:tc>
          <w:tcPr>
            <w:tcW w:type="dxa" w:w="7313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需要留下的判断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原公司当时解决什么约束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与研究对象是否属于同一问题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动作依赖什么资源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资源已具备、可补齐或暂不可获得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客户与采购是否相似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能否采用相近触达和成交方式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外部时机是否相同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技术、竞争、预算变化是否重要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成本和容量是否允许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小规模试验的代价与上限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怎样先验证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最小动作、观察指标、失败条件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例如，Disco 的公告描述了帮助专家构建课程并分享收入的服务。可提取的机制是“服务帮助客户获得结果，同时发现软件需求”；迁移时仍需检查服务成本、客户规模和产品复用程度。</w:t>
      </w:r>
      <w:hyperlink r:id="rId14">
        <w:r>
          <w:rPr>
            <w:color w:val="165D86"/>
            <w:u w:val="single"/>
          </w:rPr>
          <w:t>来源 10</w:t>
        </w:r>
      </w:hyperlink>
    </w:p>
    <w:p>
      <w:pPr>
        <w:pStyle w:val="Heading2"/>
      </w:pPr>
      <w:r>
        <w:t>7.3 主动寻找失败样本</w:t>
      </w:r>
    </w:p>
    <w:p>
      <w:r>
        <w:t>只研究融资或增长成功的公司，容易高估某种方法的有效性。补充采用相近做法但失败、停滞或转型的公司，比较真正不同的条件。</w:t>
      </w:r>
    </w:p>
    <w:p>
      <w:r>
        <w:t>负面样本不是为了否定策略，而是寻找限制。例如，同样依赖创始人受众，有的业务能建立机构品牌，有的无法获得第二次购买；差异可能在持续价值、交付和客户归属。</w:t>
      </w:r>
    </w:p>
    <w:p>
      <w:r>
        <w:t>最终对标结论应是“在这些前提下值得测试这个机制”，而非“这家公司成功，所以照着做”。</w:t>
      </w:r>
    </w:p>
    <w:p>
      <w:pPr>
        <w:pStyle w:val="Heading1"/>
      </w:pPr>
      <w:r>
        <w:t>第八章 不同业务应怎样调整重点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587"/>
        <w:gridCol w:w="2494"/>
        <w:gridCol w:w="2891"/>
        <w:gridCol w:w="2665"/>
      </w:tblGrid>
      <w:tr>
        <w:trPr>
          <w:cantSplit/>
          <w:tblHeader/>
        </w:trPr>
        <w:tc>
          <w:tcPr>
            <w:tcW w:type="dxa" w:w="1587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业务类型</w:t>
            </w:r>
          </w:p>
        </w:tc>
        <w:tc>
          <w:tcPr>
            <w:tcW w:type="dxa" w:w="2494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优先切入</w:t>
            </w:r>
          </w:p>
        </w:tc>
        <w:tc>
          <w:tcPr>
            <w:tcW w:type="dxa" w:w="2891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深入证据</w:t>
            </w:r>
          </w:p>
        </w:tc>
        <w:tc>
          <w:tcPr>
            <w:tcW w:type="dxa" w:w="2665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常见误读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企业软件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使用价值与采购障碍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实施、激活、续费、支持成本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把试点或合同当成稳定采用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消费应用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使用时刻与持续动机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分批留存、自然使用周期、推荐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把下载或生成量当成持续价值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交易平台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哪一侧稀缺及匹配质量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成交率、履约、补贴、双方留存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把交易额当收入或网络效应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专业服务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结果验收与人员容量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工时、返工、复购、人员依赖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把高客单当成高利润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硬件制造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使用场景与总拥有成本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良率、产能、渠道、库存、售后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把预订当收入，把销量当现金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内容和会员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付费理由与持续供给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消费深度、续费、供给成本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把粉丝或单次爆款当可复制业务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这些是研究优先级，不是行业定律。混合业务需要分开核算。例如，“软件加服务”应分别检查软件复用价值与服务容量；同时经营平台和自营业务的公司，也需要区分两者的收益和冲突。</w:t>
      </w:r>
    </w:p>
    <w:p>
      <w:r>
        <w:t>对成熟或多业务公司，补充收入与利润分部、客户集中度、资本开支、现金流和资源配置。对受许可或行业规则显著约束的业务，相关条件本身也可能决定市场范围与交付方式，需要使用相应一手资料核实。</w:t>
      </w:r>
    </w:p>
    <w:p>
      <w:pPr>
        <w:pStyle w:val="Heading1"/>
      </w:pPr>
      <w:r>
        <w:t>第九章 执行一轮完整研究</w:t>
      </w:r>
    </w:p>
    <w:p>
      <w:pPr>
        <w:pStyle w:val="Heading2"/>
      </w:pPr>
      <w:r>
        <w:t>9.1 第一轮建立地图</w:t>
      </w:r>
    </w:p>
    <w:p>
      <w:r>
        <w:t>先读官网、产品、定价、文档、关键客户材料和历史发布，填写交易描述与八角度地图。此时目标是发现空白和矛盾，不急于写长结论。</w:t>
      </w:r>
    </w:p>
    <w:p>
      <w:r>
        <w:t>同时记录竞争替代、业务边界和关键日期。将当前定位与早期定位分开，避免把今天的完整产品当成最初的启动产品。</w:t>
      </w:r>
    </w:p>
    <w:p>
      <w:pPr>
        <w:pStyle w:val="Heading2"/>
      </w:pPr>
      <w:r>
        <w:t>9.2 第二轮追查关键未知</w:t>
      </w:r>
    </w:p>
    <w:p>
      <w:r>
        <w:t>选出少数能改变决策的问题，为每个问题寻找直接证据和至少一个替代解释。必要时访谈客户、试用产品或请求授权的经营数据。</w:t>
      </w:r>
    </w:p>
    <w:p>
      <w:r>
        <w:t>围绕命题检索比泛搜公司名更有效。例如，把“研究增长”改成“首批客户是否来自创始人受众”，把“研究产品力”改成“部署后是否减少了含复核在内的总工时”。具体命题决定去哪找资料。</w:t>
      </w:r>
    </w:p>
    <w:p>
      <w:pPr>
        <w:pStyle w:val="Heading2"/>
      </w:pPr>
      <w:r>
        <w:t>9.3 第三轮建立模型并找反证</w:t>
      </w:r>
    </w:p>
    <w:p>
      <w:r>
        <w:t>把客户、价值、获客、交付和利润放在一起，检查解释是否一致。若主张低成本增长，却需要大量未计价人工，就应修改成本判断；若主张网络效应，就检查新增参与者是否改善已有用户体验。</w:t>
      </w:r>
    </w:p>
    <w:p>
      <w:r>
        <w:t>主动阅读负面评价和失败案例，并检查是否代表主要客户群。单条差评不代表普遍缺陷，公司挑选的成功案例也不代表整体结果。</w:t>
      </w:r>
    </w:p>
    <w:p>
      <w:pPr>
        <w:pStyle w:val="Heading2"/>
      </w:pPr>
      <w:r>
        <w:t>9.4 第四轮写成决策报告</w:t>
      </w:r>
    </w:p>
    <w:p>
      <w:r>
        <w:t>先写核心判断及其依据，再解释业务机制。资料列表、细节时间线和方法说明放到后面，避免读者读到最后才知道结论。</w:t>
      </w:r>
    </w:p>
    <w:p>
      <w:r>
        <w:t>建议使用“观察到什么—可能原因—决策含义—下一步验证”的段落结构。动作应注明前置条件、负责人角色、观察窗口和结果判定；负责人应由实际组织确认，不在报告中擅自替人承诺。</w:t>
      </w:r>
    </w:p>
    <w:p>
      <w:pPr>
        <w:pStyle w:val="Heading2"/>
      </w:pPr>
      <w:r>
        <w:t>9.5 何时停止收集资料</w:t>
      </w:r>
    </w:p>
    <w:p>
      <w:r>
        <w:t>满足以下条件时可以交付：关键结论有直接依据或清楚标为未知；主要替代解释已经考虑；尚未解决的问题有验证路径；新增资料不再改变当前决定。</w:t>
      </w:r>
    </w:p>
    <w:p>
      <w:r>
        <w:t>若关键数据不公开，应交付条件性判断，而不是持续搜索直到找到支持原判断的材料。研究可以明确写成：“若某条件成立，则选择方案 A；否则需要方案 B 或继续验证。”</w:t>
      </w:r>
    </w:p>
    <w:p>
      <w:pPr>
        <w:pStyle w:val="Heading1"/>
      </w:pPr>
      <w:r>
        <w:t>第十章 用虚构案例走完分析</w:t>
      </w:r>
    </w:p>
    <w:p>
      <w:pPr>
        <w:pStyle w:val="Heading2"/>
      </w:pPr>
      <w:r>
        <w:t>10.1 案例设定</w:t>
      </w:r>
    </w:p>
    <w:p>
      <w:r>
        <w:t>LoopDesk 是一家虚构的企业软件公司，为中小制造商处理采购订单录入。客户原本从邮件附件读取字段，再输入业务系统。软件提取信息，由员工确认后写入系统。它的研究问题是：下一季度应扩大销售，还是优先降低实施成本？</w:t>
      </w:r>
    </w:p>
    <w:p>
      <w:r>
        <w:t>以下数字全部用于教学。八家客户属于同一获客批次，均完成了 90 天观察；分析不代表任何真实公司的经营表现。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324"/>
        <w:gridCol w:w="7313"/>
      </w:tblGrid>
      <w:tr>
        <w:trPr>
          <w:cantSplit/>
          <w:tblHeader/>
        </w:trPr>
        <w:tc>
          <w:tcPr>
            <w:tcW w:type="dxa" w:w="2324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已知信息</w:t>
            </w:r>
          </w:p>
        </w:tc>
        <w:tc>
          <w:tcPr>
            <w:tcW w:type="dxa" w:w="7313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假设数据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同一批次有效线索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100 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进入方案评估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40 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开始付费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8 家，均为每月 1,200 美元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90 天时仍付费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6 家，无扩张或降级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每个活跃客户月可变服务成本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200 美元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每位新客户平均实施投入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40 小时，每小时成本 60 美元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该批销售营销投入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25,600 美元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两家流失客户的退出时间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在第三次月费后退出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pStyle w:val="Heading2"/>
      </w:pPr>
      <w:r>
        <w:t>10.2 从客户选择开始</w:t>
      </w:r>
    </w:p>
    <w:p>
      <w:r>
        <w:t>最初画像是“有订单录入任务的制造商”，仍然过宽。继续调查时，应按订单量、附件标准化程度、现有系统和人工错误代价分层。低订单量客户即使喜欢产品，也可能难以覆盖每月费用。</w:t>
      </w:r>
    </w:p>
    <w:p>
      <w:r>
        <w:t>购买触发假设是业务增长导致录入积压。该假设需要客户原有工时、错误记录及购买访谈支持。产品功能可以工作，只能说明可交付；它是否产生足够净价值，还要计入员工复核和异常处理。</w:t>
      </w:r>
    </w:p>
    <w:p>
      <w:pPr>
        <w:pStyle w:val="Heading2"/>
      </w:pPr>
      <w:r>
        <w:t>10.3 计算能支持到哪一步</w:t>
      </w:r>
    </w:p>
    <w:p>
      <w:r>
        <w:t>这批线索到付费的转化率为 8 / 100 = 8%，评估到付费为 8 / 40 = 20%。这只是该批次的观察，不足以代表长期渠道表现。还需要来源、销售周期和被筛掉的客户原因。</w:t>
      </w:r>
    </w:p>
    <w:p>
      <w:r>
        <w:t>90 天客户留存为 6 / 8 = 75%。期初月收入为 9,600 美元，90 天时为 7,200 美元；由于没有扩张或降级，这个批次的收入留存也为 75%。八家样本很小，尚不能外推年度续费或生命周期价值。</w:t>
      </w:r>
    </w:p>
    <w:p>
      <w:r>
        <w:t>按限定口径，每位活跃客户月贡献为 1,200 - 200 = 1,000 美元。获客成本为 25,600 / 8 = 3,200 美元；实施成本为 40 × 60 = 2,400 美元。前期需回收的两项投入合计 5,600 美元。</w:t>
      </w:r>
    </w:p>
    <w:p>
      <w:r>
        <w:t>若客户持续付款、月贡献不变且暂不考虑其他费用，简化回收期为 5,600 / 1,000 = 5.6 个月。这不是实际利润或已实现的回收结果。两家客户在第三次月费后退出，各贡献 3,000 美元，尚不足以覆盖各自 5,600 美元的前期投入。</w:t>
      </w:r>
    </w:p>
    <w:p>
      <w:pPr>
        <w:pStyle w:val="Heading2"/>
      </w:pPr>
      <w:r>
        <w:t>10.4 识别替代解释</w:t>
      </w:r>
    </w:p>
    <w:p>
      <w:r>
        <w:t>数据提示应调查实施投入与早期流失，但尚不能直接断言应该停止获客。需要区分至少三种解释：低订单量客户缺少持续价值；系统适配差导致实施过重；产品复核负担削弱客户收益。</w:t>
      </w:r>
    </w:p>
    <w:p>
      <w:r>
        <w:t>分别检查流失访谈、订单量、实施工时日志和使用质量。若问题集中在一种不适合的客户类型，收窄客户范围可能比全面重做产品更有效；若所有客户都有高适配成本，则标准化能力可能是主要约束。</w:t>
      </w:r>
    </w:p>
    <w:p>
      <w:pPr>
        <w:pStyle w:val="Heading2"/>
      </w:pPr>
      <w:r>
        <w:t>10.5 形成可验证的下一步</w:t>
      </w:r>
    </w:p>
    <w:p>
      <w:r>
        <w:t>一个条件性建议是：先选择现有系统与附件结构相近的客户，记录新一轮实施与价值结果，再决定是否扩大销售。下面的阈值是案例中的示例决策标准，真实阈值应由团队的资源与回报要求确定。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871"/>
        <w:gridCol w:w="3798"/>
        <w:gridCol w:w="3969"/>
      </w:tblGrid>
      <w:tr>
        <w:trPr>
          <w:cantSplit/>
          <w:tblHeader/>
        </w:trPr>
        <w:tc>
          <w:tcPr>
            <w:tcW w:type="dxa" w:w="1871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待验证假设</w:t>
            </w:r>
          </w:p>
        </w:tc>
        <w:tc>
          <w:tcPr>
            <w:tcW w:type="dxa" w:w="3798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调查或动作</w:t>
            </w:r>
          </w:p>
        </w:tc>
        <w:tc>
          <w:tcPr>
            <w:tcW w:type="dxa" w:w="3969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观察与判断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标准配置能降低实施投入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下一批采用一致配置范围，记录全部工时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检查能否降至约 20 小时，且没有转移到支持工时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高订单量客户获得更多净收益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对比不同订单量客户的完整处理成本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明确哪类客户能覆盖费用与迁移成本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流失主要源于客户不匹配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复盘退出客户，并观察相近新客户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若目标客户仍缺少价值，修改产品判断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销售能脱离创始人推动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在相近客户中记录不同销售路径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区分信任、演示和定制承诺的作用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若实施降到 20 小时，其他假设不变，前期投入将变为 3,200 + 1,200 = 4,400 美元，简化回收期为 4.4 个月。这说明改进可能影响经济性，但仍需验证持续付款、支持成本和客户结果。</w:t>
      </w:r>
    </w:p>
    <w:p>
      <w:pPr>
        <w:pStyle w:val="Heading2"/>
      </w:pPr>
      <w:r>
        <w:t>10.6 示例结论</w:t>
      </w:r>
    </w:p>
    <w:p>
      <w:r>
        <w:t>“LoopDesk 已在一个小批次中获得真实付费，但早期流失和实施投入限制了扩大获客的依据。当前应优先确认适合的订单与系统场景，以及实施标准化是否有效。若新客户的净价值、实施投入和持续付款表现改善，可以扩大对应客户群；若收益不足或支持成本同步上升，应调整产品和报价。现有 90 天数据不足以证明长期留存或稳定生命周期价值。”</w:t>
      </w:r>
    </w:p>
    <w:p>
      <w:r>
        <w:t>这段结论同时包含观察、解释、行动与判断边界。它不会把一个转化率、一次试点或一个财务公式扩大为对整家公司的确定判断。</w:t>
      </w:r>
    </w:p>
    <w:p>
      <w:pPr>
        <w:pStyle w:val="Heading1"/>
      </w:pPr>
      <w:r>
        <w:t>第十一章 报告交付前的质量检查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324"/>
        <w:gridCol w:w="7313"/>
      </w:tblGrid>
      <w:tr>
        <w:trPr>
          <w:cantSplit/>
          <w:tblHeader/>
        </w:trPr>
        <w:tc>
          <w:tcPr>
            <w:tcW w:type="dxa" w:w="2324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7313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合格标准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问题是否明确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能指出报告支持什么决定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业务是否连贯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客户、价值、钱和交付能串成完整过程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数字是否可解释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有对象、单位、分母、窗口与来源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事实与解释是否分开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读者知道哪些是观察，哪些是推论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阶段是否匹配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评价指标符合业务当前状态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对标是否有条件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能说清可迁移部分与缺失前提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反证是否考虑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能指出什么会改变结论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建议是否可执行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有具体动作、依赖与结果判断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高质量结论应使读者知道：公司靠什么运行，哪些机制已经成立，最重要的限制是什么，以及下一笔时间或资源为什么应投到某个验证上。证据不足时，清楚的条件性结论仍然有决策价值。</w:t>
      </w:r>
    </w:p>
    <w:p>
      <w:pPr>
        <w:pStyle w:val="Heading1"/>
        <w:pageBreakBefore/>
      </w:pPr>
      <w:r>
        <w:t>附录一 研究任务书模板</w:t>
      </w:r>
    </w:p>
    <w:p>
      <w:r>
        <w:t>研究对象与具体业务：</w:t>
      </w:r>
    </w:p>
    <w:p>
      <w:r>
        <w:t>研究截止日期与历史时间范围：</w:t>
      </w:r>
    </w:p>
    <w:p>
      <w:r>
        <w:t>需要支持的决定：</w:t>
      </w:r>
    </w:p>
    <w:p>
      <w:r>
        <w:t>备选方案及决策期限：</w:t>
      </w:r>
    </w:p>
    <w:p>
      <w:r>
        <w:t>公司当前阶段与判断依据：</w:t>
      </w:r>
    </w:p>
    <w:p>
      <w:r>
        <w:t>默认交易描述：当哪类客户遇到什么问题，原来采用什么方案，现在为什么考虑这家公司，谁承担支付和迁移成本。</w:t>
      </w:r>
    </w:p>
    <w:p>
      <w:r>
        <w:t>最可能改变决定的三个未知：</w:t>
      </w:r>
    </w:p>
    <w:p>
      <w:r>
        <w:t>已经掌握的资料与可取得的授权数据：</w:t>
      </w:r>
    </w:p>
    <w:p>
      <w:r>
        <w:t>完成标准与不在本次范围内的问题：</w:t>
      </w:r>
    </w:p>
    <w:p>
      <w:pPr>
        <w:pStyle w:val="Heading1"/>
      </w:pPr>
      <w:r>
        <w:t>附录二 证据台账模板</w:t>
      </w:r>
    </w:p>
    <w:p>
      <w:r>
        <w:t>每个重要主张单独填写一条记录，不将整篇资料只标记为“已读”。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324"/>
        <w:gridCol w:w="7313"/>
      </w:tblGrid>
      <w:tr>
        <w:trPr>
          <w:cantSplit/>
          <w:tblHeader/>
        </w:trPr>
        <w:tc>
          <w:tcPr>
            <w:tcW w:type="dxa" w:w="2324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7313"/>
            <w:vAlign w:val="center"/>
            <w:shd w:fill="E5EDF3"/>
          </w:tcPr>
          <w:p>
            <w:pPr>
              <w:keepNext/>
              <w:spacing w:after="0" w:line="264" w:lineRule="exact"/>
            </w:pPr>
            <w:r>
              <w:rPr>
                <w:b/>
                <w:sz w:val="18"/>
              </w:rPr>
              <w:t>填写要求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主张编号与内容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一条可以单独审查的判断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公司与业务对象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避免混淆产品、集团或不同客户群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事件与资料时间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区分发生日期、披露日期、核对日期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来源与具体位置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链接、页码、段落或记录编号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直接依据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保留关键表述或数据，不扩大含义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数据口径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单位、分母、时间窗口、去重方法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证据性质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记录、访谈、自报、独立测试等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支持范围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最多能证明到哪一步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替代解释与反证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其他原因及冲突资料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当前判断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已证明、有信号、未知或出现反证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下一步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keepNext w:val="0"/>
              <w:spacing w:after="0" w:line="264" w:lineRule="exact"/>
            </w:pPr>
            <w:r>
              <w:rPr>
                <w:sz w:val="18"/>
              </w:rPr>
              <w:t>取得什么证据可以改变判断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pStyle w:val="Heading1"/>
      </w:pPr>
      <w:r>
        <w:t>附录三 客户访谈提纲</w:t>
      </w:r>
    </w:p>
    <w:p>
      <w:pPr>
        <w:ind w:left="255" w:hanging="255"/>
      </w:pPr>
      <w:r>
        <w:t>1. 最近一次遇到这个问题是什么时候？当时发生了什么？</w:t>
      </w:r>
    </w:p>
    <w:p>
      <w:pPr>
        <w:ind w:left="255" w:hanging="255"/>
      </w:pPr>
      <w:r>
        <w:t>2. 你原来如何处理？哪些人参与，花了多少时间或钱？</w:t>
      </w:r>
    </w:p>
    <w:p>
      <w:pPr>
        <w:ind w:left="255" w:hanging="255"/>
      </w:pPr>
      <w:r>
        <w:t>3. 什么原因让你开始寻找新的方案？</w:t>
      </w:r>
    </w:p>
    <w:p>
      <w:pPr>
        <w:ind w:left="255" w:hanging="255"/>
      </w:pPr>
      <w:r>
        <w:t>4. 考虑过哪些替代方案？为什么没有选择或继续使用它们？</w:t>
      </w:r>
    </w:p>
    <w:p>
      <w:pPr>
        <w:ind w:left="255" w:hanging="255"/>
      </w:pPr>
      <w:r>
        <w:t>5. 谁推动购买，谁审批，谁付款？最难通过哪一关？</w:t>
      </w:r>
    </w:p>
    <w:p>
      <w:pPr>
        <w:ind w:left="255" w:hanging="255"/>
      </w:pPr>
      <w:r>
        <w:t>6. 第一次获得价值之前，需要完成哪些步骤？</w:t>
      </w:r>
    </w:p>
    <w:p>
      <w:pPr>
        <w:ind w:left="255" w:hanging="255"/>
      </w:pPr>
      <w:r>
        <w:t>7. 使用后哪些事情发生了变化？有没有记录可以核对？</w:t>
      </w:r>
    </w:p>
    <w:p>
      <w:pPr>
        <w:ind w:left="255" w:hanging="255"/>
      </w:pPr>
      <w:r>
        <w:t>8. 哪些部分仍然需要人工、其他工具或额外服务？</w:t>
      </w:r>
    </w:p>
    <w:p>
      <w:pPr>
        <w:ind w:left="255" w:hanging="255"/>
      </w:pPr>
      <w:r>
        <w:t>9. 什么情况下你会停止使用、更换产品或拒绝续费？</w:t>
      </w:r>
    </w:p>
    <w:p>
      <w:pPr>
        <w:ind w:left="255" w:hanging="255"/>
      </w:pPr>
      <w:r>
        <w:t>10. 如果没有这家公司，你下一次会怎样解决问题？</w:t>
      </w:r>
    </w:p>
    <w:p>
      <w:r>
        <w:t>不要将“你愿意买吗”作为唯一需求证据。对失去的客户、未购买者和普通用户分别访谈，避免只听最成功或最热情的客户。记录原话与研究者解释时应分栏保存。</w:t>
      </w:r>
    </w:p>
    <w:p>
      <w:pPr>
        <w:pStyle w:val="Heading1"/>
      </w:pPr>
      <w:r>
        <w:t>附录四 对标与实验模板</w:t>
      </w:r>
    </w:p>
    <w:p>
      <w:r>
        <w:t>机制对标：原公司当时的约束是什么；采取了什么动作；有哪些直接结果；依赖哪些客户、资源和时机；研究对象满足什么前提；缺少什么；最小测试是什么。</w:t>
      </w:r>
    </w:p>
    <w:p>
      <w:r>
        <w:t>实验设计：待验证假设是什么；若不成立会影响哪项决定；测试对象与排除条件是什么；采取什么动作；观察哪些指标及其分母；持续多久；什么结果支持继续、调整或停止；谁负责记录；可能有什么混杂因素。</w:t>
      </w:r>
    </w:p>
    <w:p>
      <w:r>
        <w:t>判定标准应在观察结果前写下。结果不符合预期时，先检查实施和测量，再检查原假设；不要事后更换指标，让所有结果都显得成功。</w:t>
      </w:r>
    </w:p>
    <w:p>
      <w:pPr>
        <w:pStyle w:val="Heading1"/>
      </w:pPr>
      <w:r>
        <w:t>附录五 可直接使用的报告目录</w:t>
      </w:r>
    </w:p>
    <w:p>
      <w:pPr>
        <w:ind w:left="255" w:hanging="255"/>
      </w:pPr>
      <w:r>
        <w:t>1. 核心判断及决策含义</w:t>
      </w:r>
    </w:p>
    <w:p>
      <w:pPr>
        <w:ind w:left="255" w:hanging="255"/>
      </w:pPr>
      <w:r>
        <w:t>2. 研究问题与公司阶段</w:t>
      </w:r>
    </w:p>
    <w:p>
      <w:pPr>
        <w:ind w:left="255" w:hanging="255"/>
      </w:pPr>
      <w:r>
        <w:t>3. 客户和购买场景</w:t>
      </w:r>
    </w:p>
    <w:p>
      <w:pPr>
        <w:ind w:left="255" w:hanging="255"/>
      </w:pPr>
      <w:r>
        <w:t>4. 产品价值与交付机制</w:t>
      </w:r>
    </w:p>
    <w:p>
      <w:pPr>
        <w:ind w:left="255" w:hanging="255"/>
      </w:pPr>
      <w:r>
        <w:t>5. 起点资源与关键路径</w:t>
      </w:r>
    </w:p>
    <w:p>
      <w:pPr>
        <w:ind w:left="255" w:hanging="255"/>
      </w:pPr>
      <w:r>
        <w:t>6. 获客成交与渠道归属</w:t>
      </w:r>
    </w:p>
    <w:p>
      <w:pPr>
        <w:ind w:left="255" w:hanging="255"/>
      </w:pPr>
      <w:r>
        <w:t>7. 收入成本与现金约束</w:t>
      </w:r>
    </w:p>
    <w:p>
      <w:pPr>
        <w:ind w:left="255" w:hanging="255"/>
      </w:pPr>
      <w:r>
        <w:t>8. 留存增长与扩张条件</w:t>
      </w:r>
    </w:p>
    <w:p>
      <w:pPr>
        <w:ind w:left="255" w:hanging="255"/>
      </w:pPr>
      <w:r>
        <w:t>9. 竞争替代与优势持续性</w:t>
      </w:r>
    </w:p>
    <w:p>
      <w:pPr>
        <w:ind w:left="255" w:hanging="255"/>
      </w:pPr>
      <w:r>
        <w:t>10. 关键未知和替代解释</w:t>
      </w:r>
    </w:p>
    <w:p>
      <w:pPr>
        <w:ind w:left="255" w:hanging="255"/>
      </w:pPr>
      <w:r>
        <w:t>11. 可迁移经验与下一步验证</w:t>
      </w:r>
    </w:p>
    <w:p>
      <w:pPr>
        <w:ind w:left="255" w:hanging="255"/>
      </w:pPr>
      <w:r>
        <w:t>12. 证据台账和来源</w:t>
      </w:r>
    </w:p>
    <w:p>
      <w:r>
        <w:t>根据决策调整篇幅。某一项没有资料时，说明缺口及影响；不要用行业常识或相邻公司数据代填公司事实。</w:t>
      </w:r>
    </w:p>
    <w:p>
      <w:pPr>
        <w:pStyle w:val="Heading1"/>
      </w:pPr>
      <w:r>
        <w:t>附录六 调研任务提示词</w:t>
      </w:r>
    </w:p>
    <w:p>
      <w:r>
        <w:t>请研究指定公司的业务机制，并先明确研究要支持的决定、公司阶段、业务范围与截止日期。从核心客户的购买触发、现有替代方案和支付理由切入，分析产品价值、起点资源、获客成交、收入成本、留存增长、竞争优势和当前约束。</w:t>
      </w:r>
    </w:p>
    <w:p>
      <w:r>
        <w:t>请重建关键阶段的约束、动作、证据与业务变化，区分时间先后和因果解释。关键结论要回到具体一手资料，记录数字口径、时间范围和证据边界。保留未知，主动寻找失败案例、负面证据及其他合理解释。</w:t>
      </w:r>
    </w:p>
    <w:p>
      <w:r>
        <w:t>对标时比较具体机制及适用条件。最终报告应说明公司靠什么运行、什么已经得到证明、最重要的未知是什么、哪些证据会改变判断，并给出与证据强度相称的下一步调查或实验。公开资料不足以支持的财务、留存或客户结论，不得补造。</w:t>
      </w:r>
    </w:p>
    <w:p>
      <w:pPr>
        <w:pStyle w:val="Heading1"/>
      </w:pPr>
      <w:r>
        <w:t>参考来源</w:t>
      </w:r>
    </w:p>
    <w:p>
      <w:r>
        <w:t>以下网页用于方法提炼与有限的来源审查示例。公司历史案例只支持就近标明的命题，不构成对这些公司当前经营状况的全面更新。来源内容在本次对话前序研究中于 2026 年 9 月 26 日核对。</w:t>
      </w:r>
    </w:p>
    <w:p>
      <w:pPr>
        <w:ind w:left="255" w:hanging="255"/>
      </w:pPr>
      <w:r>
        <w:t xml:space="preserve">1. </w:t>
      </w:r>
      <w:hyperlink r:id="rId9">
        <w:r>
          <w:rPr>
            <w:color w:val="165D86"/>
            <w:u w:val="single"/>
          </w:rPr>
          <w:t>Stoody GTM Lab 主站</w:t>
        </w:r>
      </w:hyperlink>
      <w:r>
        <w:t>：阶段判断、资源、渠道、公司档案与行动计划。</w:t>
      </w:r>
    </w:p>
    <w:p>
      <w:pPr>
        <w:ind w:left="255" w:hanging="255"/>
      </w:pPr>
      <w:r>
        <w:t xml:space="preserve">2. </w:t>
      </w:r>
      <w:hyperlink r:id="rId15">
        <w:r>
          <w:rPr>
            <w:color w:val="165D86"/>
            <w:u w:val="single"/>
          </w:rPr>
          <w:t>七家公司详细对照</w:t>
        </w:r>
      </w:hyperlink>
      <w:r>
        <w:t>：起点、客户、早期产品、增长机制与迁移条件。</w:t>
      </w:r>
    </w:p>
    <w:p>
      <w:pPr>
        <w:ind w:left="255" w:hanging="255"/>
      </w:pPr>
      <w:r>
        <w:t xml:space="preserve">3. </w:t>
      </w:r>
      <w:hyperlink r:id="rId16">
        <w:r>
          <w:rPr>
            <w:color w:val="165D86"/>
            <w:u w:val="single"/>
          </w:rPr>
          <w:t>GTM 建议复盘</w:t>
        </w:r>
      </w:hyperlink>
      <w:r>
        <w:t>：将建议分层并设置采用条件。</w:t>
      </w:r>
    </w:p>
    <w:p>
      <w:pPr>
        <w:ind w:left="255" w:hanging="255"/>
      </w:pPr>
      <w:r>
        <w:t xml:space="preserve">4. </w:t>
      </w:r>
      <w:hyperlink r:id="rId12">
        <w:r>
          <w:rPr>
            <w:color w:val="165D86"/>
            <w:u w:val="single"/>
          </w:rPr>
          <w:t>Maven 2021 年融资公告</w:t>
        </w:r>
      </w:hyperlink>
      <w:r>
        <w:t>：课程成交证据与平台经营指标之间的口径区别。</w:t>
      </w:r>
    </w:p>
    <w:p>
      <w:pPr>
        <w:ind w:left="255" w:hanging="255"/>
      </w:pPr>
      <w:r>
        <w:t xml:space="preserve">5. </w:t>
      </w:r>
      <w:hyperlink r:id="rId10">
        <w:r>
          <w:rPr>
            <w:color w:val="165D86"/>
            <w:u w:val="single"/>
          </w:rPr>
          <w:t>Maven Booking 1 to 1 Calls</w:t>
        </w:r>
      </w:hyperlink>
      <w:r>
        <w:t>：altMBA 招生案例与公司历史归属。</w:t>
      </w:r>
    </w:p>
    <w:p>
      <w:pPr>
        <w:ind w:left="255" w:hanging="255"/>
      </w:pPr>
      <w:r>
        <w:t xml:space="preserve">6. </w:t>
      </w:r>
      <w:hyperlink r:id="rId11">
        <w:r>
          <w:rPr>
            <w:color w:val="165D86"/>
            <w:u w:val="single"/>
          </w:rPr>
          <w:t>Uplimit 2022 年早期融资与产品说明</w:t>
        </w:r>
      </w:hyperlink>
      <w:r>
        <w:t>：早期课程、个性化及企业方向并存。</w:t>
      </w:r>
    </w:p>
    <w:p>
      <w:pPr>
        <w:ind w:left="255" w:hanging="255"/>
      </w:pPr>
      <w:r>
        <w:t xml:space="preserve">7. </w:t>
      </w:r>
      <w:hyperlink r:id="rId13">
        <w:r>
          <w:rPr>
            <w:color w:val="165D86"/>
            <w:u w:val="single"/>
          </w:rPr>
          <w:t>Uplimit 2024 年融资公告</w:t>
        </w:r>
      </w:hyperlink>
      <w:r>
        <w:t>：公司披露的学习结果及其解释边界。</w:t>
      </w:r>
    </w:p>
    <w:p>
      <w:pPr>
        <w:ind w:left="255" w:hanging="255"/>
      </w:pPr>
      <w:r>
        <w:t xml:space="preserve">8. </w:t>
      </w:r>
      <w:hyperlink r:id="rId17">
        <w:r>
          <w:rPr>
            <w:color w:val="165D86"/>
            <w:u w:val="single"/>
          </w:rPr>
          <w:t>Reforge 2021 年创始人回顾</w:t>
        </w:r>
      </w:hyperlink>
      <w:r>
        <w:t>：从团队专业成长需求发现产品机会。</w:t>
      </w:r>
    </w:p>
    <w:p>
      <w:pPr>
        <w:ind w:left="255" w:hanging="255"/>
      </w:pPr>
      <w:r>
        <w:t xml:space="preserve">9. </w:t>
      </w:r>
      <w:hyperlink r:id="rId18">
        <w:r>
          <w:rPr>
            <w:color w:val="165D86"/>
            <w:u w:val="single"/>
          </w:rPr>
          <w:t>Reforge 2022 年产品与融资说明</w:t>
        </w:r>
      </w:hyperlink>
      <w:r>
        <w:t>：早期产品、专业经验与交付机制。</w:t>
      </w:r>
    </w:p>
    <w:p>
      <w:pPr>
        <w:ind w:left="255" w:hanging="255"/>
      </w:pPr>
      <w:r>
        <w:t xml:space="preserve">10. </w:t>
      </w:r>
      <w:hyperlink r:id="rId14">
        <w:r>
          <w:rPr>
            <w:color w:val="165D86"/>
            <w:u w:val="single"/>
          </w:rPr>
          <w:t>Disco 2021 年服务计划公告</w:t>
        </w:r>
      </w:hyperlink>
      <w:r>
        <w:t>：服务帮助客户形成产品及收入分享机制。</w:t>
      </w:r>
    </w:p>
    <w:p>
      <w:pPr>
        <w:ind w:left="255" w:hanging="255"/>
      </w:pPr>
      <w:r>
        <w:t xml:space="preserve">11. </w:t>
      </w:r>
      <w:hyperlink r:id="rId19">
        <w:r>
          <w:rPr>
            <w:color w:val="165D86"/>
            <w:u w:val="single"/>
          </w:rPr>
          <w:t>Maven 案例专页</w:t>
        </w:r>
      </w:hyperlink>
      <w:r>
        <w:t>：按动作整理公司早期路径的方法入口。</w:t>
      </w:r>
    </w:p>
    <w:sectPr w:rsidR="00FC693F" w:rsidRPr="0006063C" w:rsidSect="00034616">
      <w:footerReference w:type="default" r:id="rId20"/>
      <w:pgSz w:w="11906" w:h="16838"/>
      <w:pgMar w:top="1077" w:right="1134" w:bottom="1077" w:left="1134" w:header="720" w:footer="51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 xml:space="preserve">公司调研方法报告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exact" w:after="120"/>
    </w:pPr>
    <w:rPr>
      <w:rFonts w:ascii="Arial" w:hAnsi="Arial" w:eastAsia="Songti SC"/>
      <w:color w:val="000000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476" w:lineRule="exact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34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50" w:lineRule="exact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5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200" w:line="700" w:lineRule="exact" w:before="0"/>
      <w:contextualSpacing/>
    </w:pPr>
    <w:rPr>
      <w:rFonts w:asciiTheme="majorHAnsi" w:eastAsiaTheme="majorEastAsia" w:hAnsiTheme="majorHAnsi" w:cstheme="majorBidi" w:ascii="Arial" w:hAnsi="Arial" w:eastAsia="Heiti SC"/>
      <w:color w:val="000000"/>
      <w:spacing w:val="5"/>
      <w:kern w:val="28"/>
      <w:sz w:val="50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80" w:line="336" w:lineRule="exact"/>
    </w:pPr>
    <w:rPr>
      <w:rFonts w:asciiTheme="majorHAnsi" w:eastAsiaTheme="majorEastAsia" w:hAnsiTheme="majorHAnsi" w:cstheme="majorBidi" w:ascii="Arial" w:hAnsi="Arial" w:eastAsia="Heiti SC"/>
      <w:i/>
      <w:iCs/>
      <w:color w:val="000000"/>
      <w:spacing w:val="15"/>
      <w:sz w:val="24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oody-zero-to-one.vercel.app/" TargetMode="External"/><Relationship Id="rId10" Type="http://schemas.openxmlformats.org/officeDocument/2006/relationships/hyperlink" Target="https://help.maven.com/en/articles/6732944-booking-1-1-calls" TargetMode="External"/><Relationship Id="rId11" Type="http://schemas.openxmlformats.org/officeDocument/2006/relationships/hyperlink" Target="https://uplimit.com/blog/announcing-corise-fundraise-from-greylock-gsv-ventures-and-cowboy-ventures" TargetMode="External"/><Relationship Id="rId12" Type="http://schemas.openxmlformats.org/officeDocument/2006/relationships/hyperlink" Target="https://www.prnewswire.com/news-releases/maven-raises-20-million-in-series-a-funding-led-by-andreessen-horowitz-301295905.html" TargetMode="External"/><Relationship Id="rId13" Type="http://schemas.openxmlformats.org/officeDocument/2006/relationships/hyperlink" Target="https://www.prnewswire.com/news-releases/uplimit-the-ai-powered-enterprise-learning-platform-announces-series-a-funding-round-led-by-salesforce-ventures-302204813.html" TargetMode="External"/><Relationship Id="rId14" Type="http://schemas.openxmlformats.org/officeDocument/2006/relationships/hyperlink" Target="https://www.globenewswire.com/news-release/2021/08/10/2277789/0/en/Learning-Tech-Startup-Disco-Launches-an-Accelerator-to-Bring-a-New-Wave-of-Teachers-to-Market.html" TargetMode="External"/><Relationship Id="rId15" Type="http://schemas.openxmlformats.org/officeDocument/2006/relationships/hyperlink" Target="https://stoody-zero-to-one.vercel.app/comparables.html" TargetMode="External"/><Relationship Id="rId16" Type="http://schemas.openxmlformats.org/officeDocument/2006/relationships/hyperlink" Target="https://stoody-zero-to-one.vercel.app/advice.html" TargetMode="External"/><Relationship Id="rId17" Type="http://schemas.openxmlformats.org/officeDocument/2006/relationships/hyperlink" Target="https://www.reforge.com/blog/weve-raised-21m-to-grow-reforge" TargetMode="External"/><Relationship Id="rId18" Type="http://schemas.openxmlformats.org/officeDocument/2006/relationships/hyperlink" Target="https://www.reforge.com/blog/reforge-raises-series-b" TargetMode="External"/><Relationship Id="rId19" Type="http://schemas.openxmlformats.org/officeDocument/2006/relationships/hyperlink" Target="https://stoody-zero-to-one.vercel.app/maven.html" TargetMode="Externa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公司调研方法报告</dc:title>
  <dc:subject>研究切入 业务机制 证据判断 对标迁移</dc:subject>
  <dc:creator/>
  <cp:keywords>公司调研,商业分析,证据,方法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