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黑体" w:hAnsi="黑体" w:eastAsia="黑体"/>
          <w:b/>
          <w:sz w:val="36"/>
        </w:rPr>
        <w:t>2026 年第八届</w:t>
      </w:r>
    </w:p>
    <w:p>
      <w:pPr>
        <w:spacing w:after="40" w:line="240" w:lineRule="auto"/>
        <w:jc w:val="center"/>
      </w:pPr>
      <w:r>
        <w:rPr>
          <w:rFonts w:ascii="黑体" w:hAnsi="黑体" w:eastAsia="黑体"/>
          <w:b/>
          <w:sz w:val="36"/>
        </w:rPr>
        <w:t>全球校园人工智能算法精英大赛</w:t>
      </w:r>
    </w:p>
    <w:p>
      <w:pPr>
        <w:spacing w:after="40" w:line="240" w:lineRule="auto"/>
        <w:jc w:val="center"/>
      </w:pPr>
      <w:r>
        <w:rPr>
          <w:rFonts w:ascii="黑体" w:hAnsi="黑体" w:eastAsia="黑体"/>
          <w:b/>
          <w:sz w:val="32"/>
        </w:rPr>
        <w:t>算法主题赛</w:t>
      </w:r>
    </w:p>
    <w:p>
      <w:pPr>
        <w:spacing w:after="360" w:line="240" w:lineRule="auto"/>
        <w:jc w:val="center"/>
      </w:pPr>
      <w:r>
        <w:rPr>
          <w:rFonts w:ascii="黑体" w:hAnsi="黑体" w:eastAsia="黑体"/>
          <w:b/>
          <w:sz w:val="32"/>
        </w:rPr>
        <w:t>AI+农业</w:t>
      </w:r>
    </w:p>
    <w:p>
      <w:pPr>
        <w:spacing w:after="800" w:line="240" w:lineRule="auto"/>
        <w:jc w:val="center"/>
      </w:pPr>
      <w:r>
        <w:rPr>
          <w:rFonts w:ascii="黑体" w:hAnsi="黑体" w:eastAsia="黑体"/>
          <w:b/>
          <w:sz w:val="52"/>
        </w:rPr>
        <w:t>技 术 方 案</w:t>
      </w:r>
    </w:p>
    <w:p>
      <w:pPr>
        <w:spacing w:after="200" w:line="240" w:lineRule="auto"/>
        <w:jc w:val="center"/>
      </w:pPr>
      <w:r>
        <w:rPr>
          <w:rFonts w:ascii="黑体" w:hAnsi="黑体" w:eastAsia="黑体"/>
          <w:b/>
          <w:sz w:val="28"/>
        </w:rPr>
        <w:t>团队名称：</w:t>
      </w:r>
    </w:p>
    <w:p>
      <w:pPr>
        <w:spacing w:after="200" w:line="240" w:lineRule="auto"/>
        <w:jc w:val="center"/>
      </w:pPr>
      <w:r>
        <w:rPr>
          <w:rFonts w:ascii="黑体" w:hAnsi="黑体" w:eastAsia="黑体"/>
          <w:b/>
          <w:sz w:val="28"/>
        </w:rPr>
        <w:t>团队编号：</w:t>
      </w:r>
    </w:p>
    <w:p>
      <w:pPr>
        <w:spacing w:after="200" w:line="240" w:lineRule="auto"/>
        <w:jc w:val="center"/>
      </w:pPr>
      <w:r>
        <w:rPr>
          <w:rFonts w:ascii="黑体" w:hAnsi="黑体" w:eastAsia="黑体"/>
          <w:b/>
          <w:sz w:val="28"/>
        </w:rPr>
        <w:t>赛题名称：</w:t>
      </w:r>
    </w:p>
    <w:p>
      <w:pPr>
        <w:spacing w:after="200" w:line="240" w:lineRule="auto"/>
        <w:jc w:val="center"/>
      </w:pPr>
      <w:r>
        <w:rPr>
          <w:rFonts w:ascii="黑体" w:hAnsi="黑体" w:eastAsia="黑体"/>
          <w:b/>
          <w:sz w:val="28"/>
        </w:rPr>
        <w:t>作品名称：</w:t>
      </w:r>
    </w:p>
    <w:p>
      <w:pPr>
        <w:spacing w:after="200" w:line="240" w:lineRule="auto"/>
        <w:jc w:val="center"/>
      </w:pPr>
      <w:r>
        <w:rPr>
          <w:rFonts w:ascii="黑体" w:hAnsi="黑体" w:eastAsia="黑体"/>
          <w:b/>
          <w:sz w:val="28"/>
        </w:rPr>
        <w:t>日期：    年    月    日</w:t>
      </w:r>
    </w:p>
    <w:p>
      <w:pPr>
        <w:spacing w:after="0" w:line="240" w:lineRule="auto"/>
      </w:pPr>
      <w:r>
        <w:rPr>
          <w:rFonts w:ascii="宋体" w:hAnsi="宋体" w:eastAsia="宋体"/>
          <w:b w:val="0"/>
          <w:color w:val="C00000"/>
          <w:sz w:val="21"/>
        </w:rPr>
        <w:t>【提交前必读】本文件所有方括号【】内容为待填写或待确认项。依据竞赛公平性条款，全文（含页眉页脚、文件属性）不得出现参赛团队所在学校名称与指导教师信息。</w:t>
      </w:r>
    </w:p>
    <w:p>
      <w:r>
        <w:br w:type="page"/>
      </w:r>
    </w:p>
    <w:p>
      <w:pPr>
        <w:spacing w:after="120" w:line="240" w:lineRule="auto"/>
      </w:pPr>
      <w:r>
        <w:rPr>
          <w:rFonts w:ascii="黑体" w:hAnsi="黑体" w:eastAsia="黑体"/>
          <w:b/>
          <w:sz w:val="24"/>
        </w:rPr>
        <w:t>AIC·“AI+农业”技术方案参考大纲</w:t>
      </w:r>
    </w:p>
    <w:p>
      <w:pPr>
        <w:spacing w:after="160" w:line="360" w:lineRule="auto"/>
      </w:pPr>
      <w:r>
        <w:rPr>
          <w:rFonts w:ascii="黑体" w:hAnsi="黑体" w:eastAsia="黑体"/>
          <w:b/>
          <w:sz w:val="32"/>
        </w:rPr>
        <w:t>作品简介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color w:val="C00000"/>
          <w:sz w:val="21"/>
        </w:rPr>
        <w:t>【≤300字，按“问题—方案—效果—应用”四段式撰写。以下为可直接改写的模板：】</w:t>
      </w:r>
    </w:p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【问题】我国畜禽种业长期依赖进口种源，传统基因组选择方法（GBLUP）对基因间非线性互作建模不足，青年个体基因组育种值预测准确度受限，直接影响选种效率与种业自主可控。【方案】本作品构建面向【奶牛产奶性状／生猪日增重】的多组学融合深度学习预测框架：以 SNP 基因型为主特征，引入注意力机制加权关键位点，并通过 CNN 分支捕捉 SNP 局部连锁结构，同时融合系谱与生产性能测定数据，最后封装为可上传基因型文件即出预测值的 Web 工具。【效果】在【公开数据集名称】上，预测准确度（5 折交叉验证相关系数 r）由 GBLUP 的【0.XX】提升至【0.XX】，RMSE 降低【X%】，单次全群预测耗时由【X】分钟缩短至【X】秒。【应用】工具已在【N】个合作牧场／育种场开展试用，可支撑早期选留与配种决策。</w:t>
      </w:r>
    </w:p>
    <w:p>
      <w:pPr>
        <w:spacing w:after="160" w:line="360" w:lineRule="auto"/>
      </w:pPr>
      <w:r>
        <w:rPr>
          <w:rFonts w:ascii="黑体" w:hAnsi="黑体" w:eastAsia="黑体"/>
          <w:b/>
          <w:sz w:val="32"/>
        </w:rPr>
        <w:t>一、作品概述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1. 背景介绍</w:t>
      </w:r>
    </w:p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【阐述作品所属行业与领域现状：我国畜牧业规模、种业对外依存度、基因组选择技术应用现状。点明存在的问题或机遇：计算育种在畜禽种业振兴行动中的战略地位。说明作品的必要性与重要性。】</w:t>
      </w:r>
    </w:p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建议写作要点：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① 产业规模与地位：畜牧业在农业产值中的占比、畜禽种业“卡脖子”问题。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② 技术现状：基因组选择（GS）已在奶牛、猪育种中应用，主流方法为 GBLUP、BayesA/B、ssGBLUP。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③ 现存问题：SNP 维度高达数万至数十万，样本量小、非线性上位效应难以捕捉、跨群体泛化差、计算成本高，导致青年个体早期选择准确度不足。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④ 机遇：深度学习与注意力机制在基因组预测中的最新进展，以及国内牧场表型数据积累日趋完善。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2. 目标定位</w:t>
      </w:r>
    </w:p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【用可量化指标界定目标，建议写成如下形式：】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361"/>
        <w:gridCol w:w="4196"/>
        <w:gridCol w:w="2948"/>
      </w:tblGrid>
      <w:tr>
        <w:tc>
          <w:tcPr>
            <w:tcW w:type="dxa" w:w="13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419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目标</w:t>
            </w:r>
          </w:p>
        </w:tc>
        <w:tc>
          <w:tcPr>
            <w:tcW w:type="dxa" w:w="294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验证方式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技术指标</w:t>
            </w:r>
          </w:p>
        </w:tc>
        <w:tc>
          <w:tcPr>
            <w:tcW w:type="dxa" w:w="419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 折交叉验证预测准确度 r ≥ 【0.XX】，较 GBLUP 基线提升 ≥ 【X%】；RMSE 降低 ≥ 【X%】</w:t>
            </w:r>
          </w:p>
        </w:tc>
        <w:tc>
          <w:tcPr>
            <w:tcW w:type="dxa" w:w="294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同一数据划分下与 GBLUP／BayesA 对比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工程指标</w:t>
            </w:r>
          </w:p>
        </w:tc>
        <w:tc>
          <w:tcPr>
            <w:tcW w:type="dxa" w:w="419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支持单次上传 ≤【5万】头个体基因型，全流程预测 ≤【60】秒</w:t>
            </w:r>
          </w:p>
        </w:tc>
        <w:tc>
          <w:tcPr>
            <w:tcW w:type="dxa" w:w="294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工具端实测计时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应用指标</w:t>
            </w:r>
          </w:p>
        </w:tc>
        <w:tc>
          <w:tcPr>
            <w:tcW w:type="dxa" w:w="419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在【N】个育种场／课题组试用，形成用户反馈 ≥【N】份</w:t>
            </w:r>
          </w:p>
        </w:tc>
        <w:tc>
          <w:tcPr>
            <w:tcW w:type="dxa" w:w="294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试用证明、访谈纪要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社会效益</w:t>
            </w:r>
          </w:p>
        </w:tc>
        <w:tc>
          <w:tcPr>
            <w:tcW w:type="dxa" w:w="419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为畜禽种业自主选育提供低成本、可复现的算法工具，降低基因组预测的使用门槛</w:t>
            </w:r>
          </w:p>
        </w:tc>
        <w:tc>
          <w:tcPr>
            <w:tcW w:type="dxa" w:w="294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推广说明</w:t>
            </w:r>
          </w:p>
        </w:tc>
      </w:tr>
    </w:tbl>
    <w:p>
      <w:pPr>
        <w:spacing w:after="120" w:line="240" w:lineRule="auto"/>
      </w:pPr>
      <w:r>
        <w:rPr>
          <w:rFonts w:ascii="宋体" w:hAnsi="宋体" w:eastAsia="宋体"/>
          <w:b w:val="0"/>
          <w:sz w:val="21"/>
        </w:rPr>
        <w:t>【没有经济效益可以不写，不影响作品成绩。】</w:t>
      </w:r>
    </w:p>
    <w:p>
      <w:r>
        <w:br w:type="page"/>
      </w:r>
    </w:p>
    <w:p>
      <w:pPr>
        <w:spacing w:after="160" w:line="360" w:lineRule="auto"/>
      </w:pPr>
      <w:r>
        <w:rPr>
          <w:rFonts w:ascii="黑体" w:hAnsi="黑体" w:eastAsia="黑体"/>
          <w:b/>
          <w:sz w:val="32"/>
        </w:rPr>
        <w:t>二、需求分析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1. 问题剖析</w:t>
      </w:r>
    </w:p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【从多维度挖掘问题本质，明确关键难点与痛点。建议按“产业痛点 → 技术痛点 → 用户痛点”三层展开。】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产业痛点：育种周期长（奶牛世代间隔 4-5 年），早期选择依赖后裔测定，成本高、周期长；进口种源依赖度高，选育效率直接决定产业竞争力。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技术痛点：SNP 位点数远大于个体数（p≫n），经典线性模型难以刻画上位效应；不同群体、不同品种间模型泛化能力差；深度学习模型可解释性不足，育种家不敢用。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用户痛点：育种场技术员不具备编程能力，算法成果难以落地为可用工具；商业育种软件授权费用高、不透明、不可二次开发。</w:t>
      </w:r>
    </w:p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关键难点：【明确写出 2-3 个真正的技术难点，例如“小样本高维下的过拟合抑制”“模型可解释性与预测精度的平衡”“跨群体迁移时的分布偏移”】。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2. 需求调研</w:t>
      </w:r>
    </w:p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【这一段是需求分析 15 分的关键，必须有真实一手材料，不能只引文献。建议采用下表汇总：】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588"/>
        <w:gridCol w:w="2381"/>
        <w:gridCol w:w="1247"/>
        <w:gridCol w:w="3289"/>
      </w:tblGrid>
      <w:tr>
        <w:tc>
          <w:tcPr>
            <w:tcW w:type="dxa" w:w="158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调研方式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对象/样本量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时间</w:t>
            </w:r>
          </w:p>
        </w:tc>
        <w:tc>
          <w:tcPr>
            <w:tcW w:type="dxa" w:w="328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主要发现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问卷调查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养殖场技术人员／动科专业学生 【N】份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【10/6-10/8】</w:t>
            </w:r>
          </w:p>
        </w:tc>
        <w:tc>
          <w:tcPr>
            <w:tcW w:type="dxa" w:w="328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【N%】受访者认为早期选种准确度是最需改进环节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深度访谈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育种场技术负责人 【N】人；课题组老师 【N】人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【10/7-10/9】</w:t>
            </w:r>
          </w:p>
        </w:tc>
        <w:tc>
          <w:tcPr>
            <w:tcW w:type="dxa" w:w="328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现有软件【具体痛点，如无法上传自有模型、结果不可解释】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现场试验／实习观察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【牧场/实验室名称脱敏】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【时间】</w:t>
            </w:r>
          </w:p>
        </w:tc>
        <w:tc>
          <w:tcPr>
            <w:tcW w:type="dxa" w:w="328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【观察到的人工记录方式与效率问题】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文献与标准研究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【N】篇论文＋【N】项行业标准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【时间】</w:t>
            </w:r>
          </w:p>
        </w:tc>
        <w:tc>
          <w:tcPr>
            <w:tcW w:type="dxa" w:w="328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主流方法仍以 GBLUP 系为主，深度学习落地案例稀少</w:t>
            </w:r>
          </w:p>
        </w:tc>
      </w:tr>
    </w:tbl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调研结论归纳为功能、性能、体验三方面要求：【示例】功能上需支持常见基因型格式（PLINK bed/ped、VCF）直接上传；性能上要求万级个体分钟内出结果；体验上要求给出可解释的重要性排序与可视化报告。</w:t>
      </w:r>
    </w:p>
    <w:p>
      <w:pPr>
        <w:spacing w:after="160" w:line="360" w:lineRule="auto"/>
      </w:pPr>
      <w:r>
        <w:rPr>
          <w:rFonts w:ascii="黑体" w:hAnsi="黑体" w:eastAsia="黑体"/>
          <w:b/>
          <w:sz w:val="32"/>
        </w:rPr>
        <w:t>三、AI 技术工具选择与运用</w:t>
      </w:r>
    </w:p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【说明选型依据，不要只列名词。建议用“需求 → 候选技术 → 选择理由 → 放弃理由”的逻辑表。】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474"/>
        <w:gridCol w:w="1928"/>
        <w:gridCol w:w="1814"/>
        <w:gridCol w:w="3289"/>
      </w:tblGrid>
      <w:tr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需求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候选方案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本作品选择</w:t>
            </w:r>
          </w:p>
        </w:tc>
        <w:tc>
          <w:tcPr>
            <w:tcW w:type="dxa" w:w="328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选型依据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高维 SNP 特征提取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GBLUP / BayesA / 随机森林 / CNN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CNN（一维卷积）</w:t>
            </w:r>
          </w:p>
        </w:tc>
        <w:tc>
          <w:tcPr>
            <w:tcW w:type="dxa" w:w="328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SNP 沿染色体排列存在局部连锁结构，卷积核可有效捕捉邻近位点组合效应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关键位点加权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GWAS 先验筛选 / 注意力机制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自注意力加权</w:t>
            </w:r>
          </w:p>
        </w:tc>
        <w:tc>
          <w:tcPr>
            <w:tcW w:type="dxa" w:w="328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避免硬筛选丢失弱效位点，且注意力权重可作为可解释性输出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多源数据融合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简单拼接 / 多分支网络 / 图神经网络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多分支融合（基因型＋系谱＋表型）</w:t>
            </w:r>
          </w:p>
        </w:tc>
        <w:tc>
          <w:tcPr>
            <w:tcW w:type="dxa" w:w="328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系谱可编码为亲缘关系矩阵作为辅助输入，图网络在样本量小时易过拟合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可视化与交付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命令行脚本 / Web 应用 / 桌面软件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Web 应用（前后端分离）</w:t>
            </w:r>
          </w:p>
        </w:tc>
        <w:tc>
          <w:tcPr>
            <w:tcW w:type="dxa" w:w="328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育种场无需安装环境，浏览器即可使用，便于推广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开发环境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Python 3.1x＋PyTorch＋scikit-learn＋pandas；部署 FastAPI＋轻量前端</w:t>
            </w:r>
          </w:p>
        </w:tc>
        <w:tc>
          <w:tcPr>
            <w:tcW w:type="dxa" w:w="328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生态成熟、复现门槛低、便于评委验证</w:t>
            </w:r>
          </w:p>
        </w:tc>
      </w:tr>
    </w:tbl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【如采用第三方大模型/智能体工具，需在此明确写出工具名称、版本与选型依据。】</w:t>
      </w:r>
    </w:p>
    <w:p>
      <w:r>
        <w:br w:type="page"/>
      </w:r>
    </w:p>
    <w:p>
      <w:pPr>
        <w:spacing w:after="160" w:line="360" w:lineRule="auto"/>
      </w:pPr>
      <w:r>
        <w:rPr>
          <w:rFonts w:ascii="黑体" w:hAnsi="黑体" w:eastAsia="黑体"/>
          <w:b/>
          <w:sz w:val="32"/>
        </w:rPr>
        <w:t>四、项目实施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1. 实施方案设计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sz w:val="20"/>
        </w:rPr>
        <w:t>【注：时间为校赛窗口（10月2日—10月7日）。若校赛入选后继续参加区域赛，可在 10 月 15 日前继续完善，届时按同一框架顺延即可。】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361"/>
        <w:gridCol w:w="1247"/>
        <w:gridCol w:w="2495"/>
        <w:gridCol w:w="1814"/>
        <w:gridCol w:w="1588"/>
      </w:tblGrid>
      <w:tr>
        <w:tc>
          <w:tcPr>
            <w:tcW w:type="dxa" w:w="13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阶段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时间</w:t>
            </w:r>
          </w:p>
        </w:tc>
        <w:tc>
          <w:tcPr>
            <w:tcW w:type="dxa" w:w="249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主要任务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资源配置</w:t>
            </w:r>
          </w:p>
        </w:tc>
        <w:tc>
          <w:tcPr>
            <w:tcW w:type="dxa" w:w="158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团队分工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S1 数据与基线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10/3-10/4</w:t>
            </w:r>
          </w:p>
        </w:tc>
        <w:tc>
          <w:tcPr>
            <w:tcW w:type="dxa" w:w="249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数据获取、质控（MAF/HWE/缺失率过滤）、GBLUP 基线复现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公开数据集＋课题组数据；CPU 或云 GPU</w:t>
            </w:r>
          </w:p>
        </w:tc>
        <w:tc>
          <w:tcPr>
            <w:tcW w:type="dxa" w:w="158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【姓名A】数据；【姓名B】基线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S2 模型开发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10/4-10/5</w:t>
            </w:r>
          </w:p>
        </w:tc>
        <w:tc>
          <w:tcPr>
            <w:tcW w:type="dxa" w:w="249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构建 CNN-Attention 模型、超参搜索、消融实验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PyTorch 环境</w:t>
            </w:r>
          </w:p>
        </w:tc>
        <w:tc>
          <w:tcPr>
            <w:tcW w:type="dxa" w:w="158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【姓名B】主模型；【姓名A】实验记录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S3 需求验证与封装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10/4-10/6</w:t>
            </w:r>
          </w:p>
        </w:tc>
        <w:tc>
          <w:tcPr>
            <w:tcW w:type="dxa" w:w="249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用户调研；Web 工具开发与联调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FastAPI＋前端；测试机</w:t>
            </w:r>
          </w:p>
        </w:tc>
        <w:tc>
          <w:tcPr>
            <w:tcW w:type="dxa" w:w="158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【姓名C】调研；【姓名B】封装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S4 材料制作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10/5-10/6</w:t>
            </w:r>
          </w:p>
        </w:tc>
        <w:tc>
          <w:tcPr>
            <w:tcW w:type="dxa" w:w="249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作品方案撰写、答辩 PPT、代码包与佐证材料整理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录屏与剪辑工具</w:t>
            </w:r>
          </w:p>
        </w:tc>
        <w:tc>
          <w:tcPr>
            <w:tcW w:type="dxa" w:w="158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全员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S5 合规自查与提交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10/7</w:t>
            </w:r>
          </w:p>
        </w:tc>
        <w:tc>
          <w:tcPr>
            <w:tcW w:type="dxa" w:w="249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去校名/教师信息、PDF 压缩＜10M、按「参赛赛道-队长学院-队长姓名-作品名称」打包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58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队长</w:t>
            </w:r>
          </w:p>
        </w:tc>
      </w:tr>
    </w:tbl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2. 关键技术实现</w:t>
      </w:r>
    </w:p>
    <w:p>
      <w:pPr>
        <w:spacing w:after="80" w:line="240" w:lineRule="auto"/>
      </w:pPr>
      <w:r>
        <w:rPr>
          <w:rFonts w:ascii="黑体" w:hAnsi="黑体" w:eastAsia="黑体"/>
          <w:b/>
          <w:sz w:val="24"/>
        </w:rPr>
        <w:t>（1）数据采集与处理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数据来源：【公开数据集名称／合作课题组，需注明并取得合法授权】。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质控流程：剔除 MAF＜0.01 位点、缺失率＞5% 个体与位点、HWE 检验 p＜1e-6 位点；缺失基因型用群体均值或 Beagle 填充。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特征编码：将 {0,1,2} 基因型编码为数值向量，并按染色体顺序组织为一维序列输入卷积层。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数据集划分：5 折交叉验证；另设独立验证群体以考察泛化能力（避免同群体泄漏）。</w:t>
      </w:r>
    </w:p>
    <w:p>
      <w:pPr>
        <w:spacing w:after="80" w:line="240" w:lineRule="auto"/>
      </w:pPr>
      <w:r>
        <w:rPr>
          <w:rFonts w:ascii="黑体" w:hAnsi="黑体" w:eastAsia="黑体"/>
          <w:b/>
          <w:sz w:val="24"/>
        </w:rPr>
        <w:t>（2）模型训练与优化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网络结构：一维卷积模块（捕捉局部连锁）→ 多头自注意力模块（全局位点加权）→ 全连接回归头；并行系谱分支输入亲缘关系矩阵降维特征。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损失函数：MSE；加入 L2 正则与 Dropout 抑制过拟合；小样本场景采用早停策略。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基线对比：GBLUP、BayesA、随机森林、MLP，统一数据划分与评价指标。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评价指标：预测准确度 r（观测值与预测值相关系数）、RMSE、R²、MAE；同时报告训练耗时与显存占用。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【必须放消融实验表：去掉注意力模块、去掉系谱分支、仅用线性模型的效果变化。】</w:t>
      </w:r>
    </w:p>
    <w:p>
      <w:pPr>
        <w:spacing w:after="80" w:line="240" w:lineRule="auto"/>
      </w:pPr>
      <w:r>
        <w:rPr>
          <w:rFonts w:ascii="黑体" w:hAnsi="黑体" w:eastAsia="黑体"/>
          <w:b/>
          <w:sz w:val="24"/>
        </w:rPr>
        <w:t>（3）系统开发与部署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后端：FastAPI 提供基因型文件上传、质控报告、预测结果与特征重要性接口。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前端：单页应用，支持拖拽上传、进度反馈、结果可视化（重要性位点曼哈顿图、个体预测值分布）。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可复现性：提供 requirements.txt、随机种子固定说明、一键复现脚本（通过网盘链接提交，命名符合规范）。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【技术实现细节与创新点要在这里说透：这是 AI 技术应用 20 分的主战场。】</w:t>
      </w:r>
    </w:p>
    <w:p>
      <w:r>
        <w:br w:type="page"/>
      </w:r>
    </w:p>
    <w:p>
      <w:pPr>
        <w:spacing w:after="160" w:line="360" w:lineRule="auto"/>
      </w:pPr>
      <w:r>
        <w:rPr>
          <w:rFonts w:ascii="黑体" w:hAnsi="黑体" w:eastAsia="黑体"/>
          <w:b/>
          <w:sz w:val="32"/>
        </w:rPr>
        <w:t>五、应用成效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1. 成果展示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2608"/>
        <w:gridCol w:w="1701"/>
        <w:gridCol w:w="1701"/>
        <w:gridCol w:w="2495"/>
      </w:tblGrid>
      <w:tr>
        <w:tc>
          <w:tcPr>
            <w:tcW w:type="dxa" w:w="260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GBLUP 基线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本作品</w:t>
            </w:r>
          </w:p>
        </w:tc>
        <w:tc>
          <w:tcPr>
            <w:tcW w:type="dxa" w:w="249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提升</w:t>
            </w:r>
          </w:p>
        </w:tc>
      </w:tr>
      <w:tr>
        <w:tc>
          <w:tcPr>
            <w:tcW w:type="dxa" w:w="260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预测准确度 r（5 折均值）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【0.XX】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【0.XX】</w:t>
            </w:r>
          </w:p>
        </w:tc>
        <w:tc>
          <w:tcPr>
            <w:tcW w:type="dxa" w:w="249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【+X%】</w:t>
            </w:r>
          </w:p>
        </w:tc>
      </w:tr>
      <w:tr>
        <w:tc>
          <w:tcPr>
            <w:tcW w:type="dxa" w:w="260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RMSE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【X.XX】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【X.XX】</w:t>
            </w:r>
          </w:p>
        </w:tc>
        <w:tc>
          <w:tcPr>
            <w:tcW w:type="dxa" w:w="249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【-X%】</w:t>
            </w:r>
          </w:p>
        </w:tc>
      </w:tr>
      <w:tr>
        <w:tc>
          <w:tcPr>
            <w:tcW w:type="dxa" w:w="260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R²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【0.XX】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【0.XX】</w:t>
            </w:r>
          </w:p>
        </w:tc>
        <w:tc>
          <w:tcPr>
            <w:tcW w:type="dxa" w:w="249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【+X%】</w:t>
            </w:r>
          </w:p>
        </w:tc>
      </w:tr>
      <w:tr>
        <w:tc>
          <w:tcPr>
            <w:tcW w:type="dxa" w:w="260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全群预测耗时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【X】分钟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【X】秒</w:t>
            </w:r>
          </w:p>
        </w:tc>
        <w:tc>
          <w:tcPr>
            <w:tcW w:type="dxa" w:w="249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【X 倍】</w:t>
            </w:r>
          </w:p>
        </w:tc>
      </w:tr>
      <w:tr>
        <w:tc>
          <w:tcPr>
            <w:tcW w:type="dxa" w:w="260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模型体积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【X】MB</w:t>
            </w:r>
          </w:p>
        </w:tc>
        <w:tc>
          <w:tcPr>
            <w:tcW w:type="dxa" w:w="249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可离线部署</w:t>
            </w:r>
          </w:p>
        </w:tc>
      </w:tr>
    </w:tbl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功能实现情况：【列出已实现的完整功能，如基因型质控、育种值预测、重要性位点可视化、批量导出】。</w:t>
      </w:r>
    </w:p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应用案例：【在 N 个牧场／课题组试用，脱敏说明，附用户反馈与试用证明】。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2. 效益分析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经济效益：早期选择替代部分后裔测定，按每头测定成本【X】元、年测定【N】头计，预计每年节约【X】万元；选育准确性提升带来的遗传进展折算为【X】元/年。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社会效益：降低基因组预测工具使用门槛，助力中小育种场与科研团队，服务种业振兴与畜牧业高质量发展。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学科建设与科学研究效益：形成“动物遗传育种＋人工智能”交叉培养案例；沉淀可复用的数据处理规范与开源脚本；产出论文／软著【N】项。</w:t>
      </w:r>
    </w:p>
    <w:p>
      <w:pPr>
        <w:spacing w:after="160" w:line="360" w:lineRule="auto"/>
      </w:pPr>
      <w:r>
        <w:rPr>
          <w:rFonts w:ascii="黑体" w:hAnsi="黑体" w:eastAsia="黑体"/>
          <w:b/>
          <w:sz w:val="32"/>
        </w:rPr>
        <w:t>六、总结与展望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1. 经验总结</w:t>
      </w:r>
    </w:p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【回顾实施过程，诚实写明哪些做成了、哪些没做成。例如：模型精度提升明显，但跨品种泛化能力仍不足；调研样本量偏小，结论代表性有限。提炼作品在应用创新方面的关键要点：把领域先验（连锁结构、系谱关系）编码进网络，是提升小样本基因组预测的关键。】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2. 未来规划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近期（3 个月）：扩充多品种数据，验证跨群体泛化；接入更多性状（繁殖、抗病、肉质）。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中期（1 年）：引入多组学数据（转录组、代谢组、微生物组），构建多模态预测框架；与育种场共建数据闭环。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远期：形成可对外服务的基因组预测平台，探索与商业育种软件的互补定位；推动算法在畜禽种业自主选育中的规模化应用。</w:t>
      </w:r>
    </w:p>
    <w:p>
      <w:r>
        <w:br w:type="page"/>
      </w:r>
    </w:p>
    <w:p>
      <w:pPr>
        <w:spacing w:after="160" w:line="360" w:lineRule="auto"/>
      </w:pPr>
      <w:r>
        <w:rPr>
          <w:rFonts w:ascii="黑体" w:hAnsi="黑体" w:eastAsia="黑体"/>
          <w:b/>
          <w:sz w:val="32"/>
        </w:rPr>
        <w:t>七、附录</w:t>
      </w:r>
    </w:p>
    <w:p>
      <w:pPr>
        <w:spacing w:after="100" w:line="240" w:lineRule="auto"/>
      </w:pPr>
      <w:r>
        <w:rPr>
          <w:rFonts w:ascii="宋体" w:hAnsi="宋体" w:eastAsia="宋体"/>
          <w:b w:val="0"/>
          <w:sz w:val="24"/>
        </w:rPr>
        <w:t>1. 数据资料：原始数据来源说明（数据集名称、版本、获取方式、授权情况）、处理后数据说明、质控前后统计表。</w:t>
      </w:r>
    </w:p>
    <w:p>
      <w:pPr>
        <w:spacing w:after="100" w:line="240" w:lineRule="auto"/>
      </w:pPr>
      <w:r>
        <w:rPr>
          <w:rFonts w:ascii="宋体" w:hAnsi="宋体" w:eastAsia="宋体"/>
          <w:b w:val="0"/>
          <w:sz w:val="24"/>
        </w:rPr>
        <w:t>2. 代码与模型：关键算法代码片段、模型结构定义、训练脚本；完整代码包通过网盘链接提交。</w:t>
      </w:r>
    </w:p>
    <w:p>
      <w:pPr>
        <w:spacing w:after="100" w:line="240" w:lineRule="auto"/>
      </w:pPr>
      <w:r>
        <w:rPr>
          <w:rFonts w:ascii="宋体" w:hAnsi="宋体" w:eastAsia="宋体"/>
          <w:b w:val="0"/>
          <w:sz w:val="24"/>
        </w:rPr>
        <w:t>3. 参考文献：GBLUP 原始文献、深度学习基因组预测综述与代表性论文、畜禽育种行业标准，注明出处。</w:t>
      </w:r>
    </w:p>
    <w:p>
      <w:pPr>
        <w:spacing w:after="100" w:line="240" w:lineRule="auto"/>
      </w:pPr>
      <w:r>
        <w:rPr>
          <w:rFonts w:ascii="宋体" w:hAnsi="宋体" w:eastAsia="宋体"/>
          <w:b w:val="0"/>
          <w:sz w:val="24"/>
        </w:rPr>
        <w:t>4. 其他材料：软著／专利受理通知、用户试用证明、调研问卷与访谈纪要、演示视频与答辩 PPT 说明。</w:t>
      </w:r>
    </w:p>
    <w:p>
      <w:pPr>
        <w:spacing w:after="200" w:line="240" w:lineRule="auto"/>
        <w:ind w:firstLine="480"/>
      </w:pPr>
    </w:p>
    <w:p>
      <w:pPr>
        <w:spacing w:after="120" w:line="240" w:lineRule="auto"/>
      </w:pPr>
      <w:r>
        <w:rPr>
          <w:rFonts w:ascii="宋体" w:hAnsi="宋体" w:eastAsia="宋体"/>
          <w:b/>
          <w:color w:val="C00000"/>
          <w:sz w:val="21"/>
        </w:rPr>
        <w:t>【最终交付提醒】① 全文删除学校名称与指导教师信息；② 导出 PDF 且文件＜10M；③ 演示视频 MP4、3-5 分钟、＜300MB；④ 答辩 PPT 同样导出为 PDF；⑤ 佐证材料合并为 1 个 PDF；⑥ 网盘链接永久有效并按要求命名。</w:t>
      </w:r>
    </w:p>
    <w:sectPr w:rsidR="00FC693F" w:rsidRPr="0006063C" w:rsidSect="00034616">
      <w:footerReference w:type="default" r:id="rId9"/>
      <w:pgSz w:w="11906" w:h="16838"/>
      <w:pgMar w:top="1417" w:right="1701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>AIC·“AI+农业”技术方案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