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76C03">
      <w:pPr>
        <w:pStyle w:val="3"/>
        <w:numPr>
          <w:ilvl w:val="0"/>
          <w:numId w:val="0"/>
        </w:numPr>
        <w:jc w:val="center"/>
        <w:rPr>
          <w:w w:val="95"/>
        </w:rPr>
      </w:pPr>
      <w:bookmarkStart w:id="0" w:name="_Toc15842"/>
      <w:bookmarkStart w:id="1" w:name="_Toc12667"/>
      <w:bookmarkStart w:id="2" w:name="_Toc26252"/>
      <w:r>
        <w:rPr>
          <w:rFonts w:hint="eastAsia"/>
          <w:w w:val="95"/>
        </w:rPr>
        <w:t>教师评语及评分表</w:t>
      </w:r>
      <w:bookmarkEnd w:id="0"/>
      <w:bookmarkEnd w:id="1"/>
      <w:bookmarkEnd w:id="2"/>
    </w:p>
    <w:p w14:paraId="6D738CC1">
      <w:pPr>
        <w:rPr>
          <w:b/>
          <w:bCs/>
        </w:rPr>
      </w:pPr>
      <w:r>
        <w:rPr>
          <w:rFonts w:hint="eastAsia"/>
          <w:b/>
          <w:bCs/>
        </w:rPr>
        <w:t>特别注意：本表及课程设计报告正文必须使用B</w:t>
      </w:r>
      <w:r>
        <w:rPr>
          <w:b/>
          <w:bCs/>
        </w:rPr>
        <w:t>5</w:t>
      </w:r>
      <w:r>
        <w:rPr>
          <w:rFonts w:hint="eastAsia"/>
          <w:b/>
          <w:bCs/>
        </w:rPr>
        <w:t>纸打印。</w:t>
      </w:r>
    </w:p>
    <w:tbl>
      <w:tblPr>
        <w:tblStyle w:val="10"/>
        <w:tblW w:w="86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4"/>
        <w:gridCol w:w="486"/>
        <w:gridCol w:w="2212"/>
        <w:gridCol w:w="850"/>
        <w:gridCol w:w="1843"/>
        <w:gridCol w:w="1276"/>
        <w:gridCol w:w="1279"/>
      </w:tblGrid>
      <w:tr w14:paraId="2CE72E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  <w:jc w:val="center"/>
        </w:trPr>
        <w:tc>
          <w:tcPr>
            <w:tcW w:w="1190" w:type="dxa"/>
            <w:gridSpan w:val="2"/>
            <w:vAlign w:val="center"/>
          </w:tcPr>
          <w:p w14:paraId="09C62C13">
            <w:pPr>
              <w:pStyle w:val="13"/>
              <w:snapToGri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学院</w:t>
            </w:r>
          </w:p>
        </w:tc>
        <w:tc>
          <w:tcPr>
            <w:tcW w:w="2212" w:type="dxa"/>
            <w:vAlign w:val="center"/>
          </w:tcPr>
          <w:p w14:paraId="340C14F2">
            <w:pPr>
              <w:pStyle w:val="13"/>
              <w:snapToGrid w:val="0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hint="eastAsia" w:ascii="Times New Roman"/>
                <w:sz w:val="22"/>
                <w:szCs w:val="22"/>
              </w:rPr>
              <w:t>管理科学与信息工程</w:t>
            </w:r>
          </w:p>
        </w:tc>
        <w:tc>
          <w:tcPr>
            <w:tcW w:w="850" w:type="dxa"/>
            <w:vAlign w:val="center"/>
          </w:tcPr>
          <w:p w14:paraId="7CF42644">
            <w:pPr>
              <w:pStyle w:val="13"/>
              <w:snapToGri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专业</w:t>
            </w:r>
          </w:p>
        </w:tc>
        <w:tc>
          <w:tcPr>
            <w:tcW w:w="1843" w:type="dxa"/>
            <w:vAlign w:val="center"/>
          </w:tcPr>
          <w:p w14:paraId="6BB504DE">
            <w:pPr>
              <w:pStyle w:val="13"/>
              <w:snapToGrid w:val="0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hint="eastAsia" w:ascii="Times New Roman"/>
                <w:sz w:val="22"/>
                <w:szCs w:val="22"/>
              </w:rPr>
              <w:t>网络工程</w:t>
            </w:r>
          </w:p>
        </w:tc>
        <w:tc>
          <w:tcPr>
            <w:tcW w:w="1276" w:type="dxa"/>
            <w:vAlign w:val="center"/>
          </w:tcPr>
          <w:p w14:paraId="71051E88">
            <w:pPr>
              <w:pStyle w:val="13"/>
              <w:snapToGri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年级</w:t>
            </w:r>
          </w:p>
        </w:tc>
        <w:tc>
          <w:tcPr>
            <w:tcW w:w="1279" w:type="dxa"/>
            <w:vAlign w:val="center"/>
          </w:tcPr>
          <w:p w14:paraId="42713CEF">
            <w:pPr>
              <w:pStyle w:val="13"/>
              <w:snapToGrid w:val="0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hint="eastAsia" w:ascii="Times New Roman"/>
                <w:sz w:val="22"/>
                <w:szCs w:val="22"/>
                <w:lang w:val="en-US" w:eastAsia="zh-CN"/>
              </w:rPr>
              <w:t>大学三年级</w:t>
            </w:r>
          </w:p>
        </w:tc>
      </w:tr>
      <w:tr w14:paraId="213942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  <w:jc w:val="center"/>
        </w:trPr>
        <w:tc>
          <w:tcPr>
            <w:tcW w:w="1190" w:type="dxa"/>
            <w:gridSpan w:val="2"/>
            <w:vAlign w:val="center"/>
          </w:tcPr>
          <w:p w14:paraId="368365BB">
            <w:pPr>
              <w:pStyle w:val="13"/>
              <w:snapToGri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学号</w:t>
            </w:r>
          </w:p>
        </w:tc>
        <w:tc>
          <w:tcPr>
            <w:tcW w:w="2212" w:type="dxa"/>
            <w:vAlign w:val="center"/>
          </w:tcPr>
          <w:p w14:paraId="49930513">
            <w:pPr>
              <w:pStyle w:val="13"/>
              <w:snapToGrid w:val="0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hint="eastAsia" w:ascii="Times New Roman"/>
                <w:sz w:val="22"/>
                <w:szCs w:val="22"/>
                <w:lang w:val="en-US" w:eastAsia="zh-CN"/>
              </w:rPr>
              <w:t>202322450324</w:t>
            </w:r>
          </w:p>
        </w:tc>
        <w:tc>
          <w:tcPr>
            <w:tcW w:w="850" w:type="dxa"/>
            <w:vAlign w:val="center"/>
          </w:tcPr>
          <w:p w14:paraId="3FBB3269">
            <w:pPr>
              <w:pStyle w:val="13"/>
              <w:snapToGri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姓名</w:t>
            </w:r>
          </w:p>
        </w:tc>
        <w:tc>
          <w:tcPr>
            <w:tcW w:w="1843" w:type="dxa"/>
            <w:vAlign w:val="center"/>
          </w:tcPr>
          <w:p w14:paraId="64C79734">
            <w:pPr>
              <w:pStyle w:val="13"/>
              <w:snapToGrid w:val="0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hint="eastAsia" w:ascii="Times New Roman"/>
                <w:sz w:val="22"/>
                <w:szCs w:val="22"/>
                <w:lang w:val="en-US" w:eastAsia="zh-CN"/>
              </w:rPr>
              <w:t>李子若</w:t>
            </w:r>
          </w:p>
        </w:tc>
        <w:tc>
          <w:tcPr>
            <w:tcW w:w="1276" w:type="dxa"/>
            <w:vAlign w:val="center"/>
          </w:tcPr>
          <w:p w14:paraId="0CCBCE8F">
            <w:pPr>
              <w:pStyle w:val="13"/>
              <w:snapToGrid w:val="0"/>
              <w:ind w:left="16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授课教师</w:t>
            </w:r>
          </w:p>
        </w:tc>
        <w:tc>
          <w:tcPr>
            <w:tcW w:w="1279" w:type="dxa"/>
            <w:vAlign w:val="center"/>
          </w:tcPr>
          <w:p w14:paraId="7945BBD0">
            <w:pPr>
              <w:pStyle w:val="13"/>
              <w:snapToGrid w:val="0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hint="eastAsia" w:ascii="Times New Roman"/>
                <w:sz w:val="22"/>
                <w:szCs w:val="22"/>
              </w:rPr>
              <w:t>王嘉</w:t>
            </w:r>
          </w:p>
        </w:tc>
      </w:tr>
      <w:tr w14:paraId="38107D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1190" w:type="dxa"/>
            <w:gridSpan w:val="2"/>
            <w:vAlign w:val="center"/>
          </w:tcPr>
          <w:p w14:paraId="307ABD84">
            <w:pPr>
              <w:pStyle w:val="13"/>
              <w:snapToGri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课设题目</w:t>
            </w:r>
          </w:p>
        </w:tc>
        <w:tc>
          <w:tcPr>
            <w:tcW w:w="7460" w:type="dxa"/>
            <w:gridSpan w:val="5"/>
            <w:vAlign w:val="center"/>
          </w:tcPr>
          <w:p w14:paraId="22769DD0">
            <w:pPr>
              <w:pStyle w:val="13"/>
              <w:snapToGrid w:val="0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  <w:szCs w:val="22"/>
              </w:rPr>
              <w:t>云农智诊——基于 NFNet-F1 与大语言模型的农业智能问诊系统</w:t>
            </w:r>
          </w:p>
        </w:tc>
      </w:tr>
      <w:tr w14:paraId="640387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  <w:jc w:val="center"/>
        </w:trPr>
        <w:tc>
          <w:tcPr>
            <w:tcW w:w="1190" w:type="dxa"/>
            <w:gridSpan w:val="2"/>
            <w:vAlign w:val="center"/>
          </w:tcPr>
          <w:p w14:paraId="6AB8D40D">
            <w:pPr>
              <w:pStyle w:val="13"/>
              <w:snapToGri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评价项目</w:t>
            </w:r>
          </w:p>
        </w:tc>
        <w:tc>
          <w:tcPr>
            <w:tcW w:w="6181" w:type="dxa"/>
            <w:gridSpan w:val="4"/>
            <w:vAlign w:val="center"/>
          </w:tcPr>
          <w:p w14:paraId="3FDE4523">
            <w:pPr>
              <w:pStyle w:val="13"/>
              <w:snapToGrid w:val="0"/>
              <w:ind w:left="80" w:right="-4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具体项目</w:t>
            </w:r>
          </w:p>
        </w:tc>
        <w:tc>
          <w:tcPr>
            <w:tcW w:w="1279" w:type="dxa"/>
            <w:vAlign w:val="center"/>
          </w:tcPr>
          <w:p w14:paraId="221700FD">
            <w:pPr>
              <w:pStyle w:val="13"/>
              <w:snapToGrid w:val="0"/>
              <w:ind w:left="4" w:right="145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评分</w:t>
            </w:r>
          </w:p>
        </w:tc>
      </w:tr>
      <w:tr w14:paraId="794F6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  <w:jc w:val="center"/>
        </w:trPr>
        <w:tc>
          <w:tcPr>
            <w:tcW w:w="1190" w:type="dxa"/>
            <w:gridSpan w:val="2"/>
            <w:vMerge w:val="restart"/>
            <w:vAlign w:val="center"/>
          </w:tcPr>
          <w:p w14:paraId="3B4A2FD5">
            <w:pPr>
              <w:pStyle w:val="13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选题质量</w:t>
            </w:r>
          </w:p>
          <w:p w14:paraId="4D343694">
            <w:pPr>
              <w:pStyle w:val="13"/>
              <w:spacing w:before="19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20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分）</w:t>
            </w:r>
          </w:p>
        </w:tc>
        <w:tc>
          <w:tcPr>
            <w:tcW w:w="6181" w:type="dxa"/>
            <w:gridSpan w:val="4"/>
          </w:tcPr>
          <w:p w14:paraId="588E7A38">
            <w:pPr>
              <w:pStyle w:val="13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选题符合课程培养目标</w:t>
            </w:r>
          </w:p>
        </w:tc>
        <w:tc>
          <w:tcPr>
            <w:tcW w:w="1279" w:type="dxa"/>
            <w:vMerge w:val="restart"/>
          </w:tcPr>
          <w:p w14:paraId="3067B0D5">
            <w:pPr>
              <w:pStyle w:val="13"/>
              <w:rPr>
                <w:rFonts w:ascii="Times New Roman"/>
                <w:sz w:val="22"/>
                <w:szCs w:val="22"/>
              </w:rPr>
            </w:pPr>
          </w:p>
        </w:tc>
      </w:tr>
      <w:tr w14:paraId="60EAA0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90" w:type="dxa"/>
            <w:gridSpan w:val="2"/>
            <w:vMerge w:val="continue"/>
            <w:tcBorders>
              <w:top w:val="nil"/>
            </w:tcBorders>
            <w:vAlign w:val="center"/>
          </w:tcPr>
          <w:p w14:paraId="1990CA5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1" w:type="dxa"/>
            <w:gridSpan w:val="4"/>
          </w:tcPr>
          <w:p w14:paraId="62E27633">
            <w:pPr>
              <w:pStyle w:val="13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题目难易适宜度</w:t>
            </w:r>
          </w:p>
        </w:tc>
        <w:tc>
          <w:tcPr>
            <w:tcW w:w="1279" w:type="dxa"/>
            <w:vMerge w:val="continue"/>
            <w:tcBorders>
              <w:top w:val="nil"/>
            </w:tcBorders>
          </w:tcPr>
          <w:p w14:paraId="159F3FA1">
            <w:pPr>
              <w:rPr>
                <w:sz w:val="22"/>
                <w:szCs w:val="22"/>
              </w:rPr>
            </w:pPr>
          </w:p>
        </w:tc>
      </w:tr>
      <w:tr w14:paraId="55C1AA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  <w:jc w:val="center"/>
        </w:trPr>
        <w:tc>
          <w:tcPr>
            <w:tcW w:w="1190" w:type="dxa"/>
            <w:gridSpan w:val="2"/>
            <w:vMerge w:val="continue"/>
            <w:tcBorders>
              <w:top w:val="nil"/>
            </w:tcBorders>
            <w:vAlign w:val="center"/>
          </w:tcPr>
          <w:p w14:paraId="099337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1" w:type="dxa"/>
            <w:gridSpan w:val="4"/>
          </w:tcPr>
          <w:p w14:paraId="11EB9D80">
            <w:pPr>
              <w:pStyle w:val="13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体现课程训练基本要求</w:t>
            </w:r>
          </w:p>
        </w:tc>
        <w:tc>
          <w:tcPr>
            <w:tcW w:w="1279" w:type="dxa"/>
            <w:vMerge w:val="continue"/>
            <w:tcBorders>
              <w:top w:val="nil"/>
            </w:tcBorders>
          </w:tcPr>
          <w:p w14:paraId="2E9280A0">
            <w:pPr>
              <w:rPr>
                <w:sz w:val="22"/>
                <w:szCs w:val="22"/>
              </w:rPr>
            </w:pPr>
          </w:p>
        </w:tc>
      </w:tr>
      <w:tr w14:paraId="55FBB0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90" w:type="dxa"/>
            <w:gridSpan w:val="2"/>
            <w:vMerge w:val="continue"/>
            <w:tcBorders>
              <w:top w:val="nil"/>
            </w:tcBorders>
            <w:vAlign w:val="center"/>
          </w:tcPr>
          <w:p w14:paraId="6E315F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1" w:type="dxa"/>
            <w:gridSpan w:val="4"/>
          </w:tcPr>
          <w:p w14:paraId="50F8BC3D">
            <w:pPr>
              <w:pStyle w:val="13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理论意义或实际价值</w:t>
            </w:r>
          </w:p>
        </w:tc>
        <w:tc>
          <w:tcPr>
            <w:tcW w:w="1279" w:type="dxa"/>
            <w:vMerge w:val="continue"/>
            <w:tcBorders>
              <w:top w:val="nil"/>
            </w:tcBorders>
          </w:tcPr>
          <w:p w14:paraId="369CD761">
            <w:pPr>
              <w:rPr>
                <w:sz w:val="22"/>
                <w:szCs w:val="22"/>
              </w:rPr>
            </w:pPr>
          </w:p>
        </w:tc>
      </w:tr>
      <w:tr w14:paraId="1029F9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90" w:type="dxa"/>
            <w:gridSpan w:val="2"/>
            <w:vMerge w:val="restart"/>
            <w:vAlign w:val="center"/>
          </w:tcPr>
          <w:p w14:paraId="427FECBC">
            <w:pPr>
              <w:pStyle w:val="13"/>
              <w:spacing w:before="21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作品质量</w:t>
            </w:r>
          </w:p>
          <w:p w14:paraId="1B273634">
            <w:pPr>
              <w:pStyle w:val="13"/>
              <w:spacing w:before="19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30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分）</w:t>
            </w:r>
          </w:p>
        </w:tc>
        <w:tc>
          <w:tcPr>
            <w:tcW w:w="6181" w:type="dxa"/>
            <w:gridSpan w:val="4"/>
          </w:tcPr>
          <w:p w14:paraId="73CC2FFF">
            <w:pPr>
              <w:pStyle w:val="13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原创性</w:t>
            </w:r>
          </w:p>
        </w:tc>
        <w:tc>
          <w:tcPr>
            <w:tcW w:w="1279" w:type="dxa"/>
            <w:vMerge w:val="restart"/>
          </w:tcPr>
          <w:p w14:paraId="2E5E6025">
            <w:pPr>
              <w:pStyle w:val="13"/>
              <w:rPr>
                <w:rFonts w:ascii="Times New Roman"/>
                <w:sz w:val="22"/>
                <w:szCs w:val="22"/>
              </w:rPr>
            </w:pPr>
          </w:p>
        </w:tc>
      </w:tr>
      <w:tr w14:paraId="442752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  <w:jc w:val="center"/>
        </w:trPr>
        <w:tc>
          <w:tcPr>
            <w:tcW w:w="1190" w:type="dxa"/>
            <w:gridSpan w:val="2"/>
            <w:vMerge w:val="continue"/>
            <w:tcBorders>
              <w:top w:val="nil"/>
            </w:tcBorders>
            <w:vAlign w:val="center"/>
          </w:tcPr>
          <w:p w14:paraId="3CC86B0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1" w:type="dxa"/>
            <w:gridSpan w:val="4"/>
          </w:tcPr>
          <w:p w14:paraId="632C4605">
            <w:pPr>
              <w:pStyle w:val="13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功能设计合理性</w:t>
            </w:r>
          </w:p>
        </w:tc>
        <w:tc>
          <w:tcPr>
            <w:tcW w:w="1279" w:type="dxa"/>
            <w:vMerge w:val="continue"/>
            <w:tcBorders>
              <w:top w:val="nil"/>
            </w:tcBorders>
          </w:tcPr>
          <w:p w14:paraId="019E9B4E">
            <w:pPr>
              <w:rPr>
                <w:sz w:val="22"/>
                <w:szCs w:val="22"/>
              </w:rPr>
            </w:pPr>
          </w:p>
        </w:tc>
      </w:tr>
      <w:tr w14:paraId="6D6911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90" w:type="dxa"/>
            <w:gridSpan w:val="2"/>
            <w:vMerge w:val="continue"/>
            <w:tcBorders>
              <w:top w:val="nil"/>
            </w:tcBorders>
            <w:vAlign w:val="center"/>
          </w:tcPr>
          <w:p w14:paraId="3A5E228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1" w:type="dxa"/>
            <w:gridSpan w:val="4"/>
          </w:tcPr>
          <w:p w14:paraId="5EBEF187">
            <w:pPr>
              <w:pStyle w:val="13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总代码量</w:t>
            </w:r>
          </w:p>
        </w:tc>
        <w:tc>
          <w:tcPr>
            <w:tcW w:w="1279" w:type="dxa"/>
            <w:vMerge w:val="continue"/>
            <w:tcBorders>
              <w:top w:val="nil"/>
            </w:tcBorders>
          </w:tcPr>
          <w:p w14:paraId="42F3A3A5">
            <w:pPr>
              <w:rPr>
                <w:sz w:val="22"/>
                <w:szCs w:val="22"/>
              </w:rPr>
            </w:pPr>
          </w:p>
        </w:tc>
      </w:tr>
      <w:tr w14:paraId="1F5271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  <w:jc w:val="center"/>
        </w:trPr>
        <w:tc>
          <w:tcPr>
            <w:tcW w:w="1190" w:type="dxa"/>
            <w:gridSpan w:val="2"/>
            <w:vMerge w:val="continue"/>
            <w:tcBorders>
              <w:top w:val="nil"/>
            </w:tcBorders>
            <w:vAlign w:val="center"/>
          </w:tcPr>
          <w:p w14:paraId="5770B3F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1" w:type="dxa"/>
            <w:gridSpan w:val="4"/>
          </w:tcPr>
          <w:p w14:paraId="1A97466F">
            <w:pPr>
              <w:pStyle w:val="13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课程知识运用程度</w:t>
            </w:r>
          </w:p>
        </w:tc>
        <w:tc>
          <w:tcPr>
            <w:tcW w:w="1279" w:type="dxa"/>
            <w:vMerge w:val="continue"/>
            <w:tcBorders>
              <w:top w:val="nil"/>
            </w:tcBorders>
          </w:tcPr>
          <w:p w14:paraId="2F46C9D4">
            <w:pPr>
              <w:rPr>
                <w:sz w:val="22"/>
                <w:szCs w:val="22"/>
              </w:rPr>
            </w:pPr>
          </w:p>
        </w:tc>
      </w:tr>
      <w:tr w14:paraId="3E4F88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90" w:type="dxa"/>
            <w:gridSpan w:val="2"/>
            <w:vMerge w:val="continue"/>
            <w:tcBorders>
              <w:top w:val="nil"/>
            </w:tcBorders>
            <w:vAlign w:val="center"/>
          </w:tcPr>
          <w:p w14:paraId="372AEA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1" w:type="dxa"/>
            <w:gridSpan w:val="4"/>
          </w:tcPr>
          <w:p w14:paraId="45BC7A25">
            <w:pPr>
              <w:pStyle w:val="13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作品功能实现质量</w:t>
            </w:r>
          </w:p>
        </w:tc>
        <w:tc>
          <w:tcPr>
            <w:tcW w:w="1279" w:type="dxa"/>
            <w:vMerge w:val="continue"/>
            <w:tcBorders>
              <w:top w:val="nil"/>
            </w:tcBorders>
          </w:tcPr>
          <w:p w14:paraId="0C694090">
            <w:pPr>
              <w:rPr>
                <w:sz w:val="22"/>
                <w:szCs w:val="22"/>
              </w:rPr>
            </w:pPr>
          </w:p>
        </w:tc>
      </w:tr>
      <w:tr w14:paraId="3D26C9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90" w:type="dxa"/>
            <w:gridSpan w:val="2"/>
            <w:vMerge w:val="restart"/>
            <w:vAlign w:val="center"/>
          </w:tcPr>
          <w:p w14:paraId="43B7D309">
            <w:pPr>
              <w:pStyle w:val="13"/>
              <w:spacing w:before="21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报告质量</w:t>
            </w:r>
          </w:p>
          <w:p w14:paraId="4FB4A3A7">
            <w:pPr>
              <w:pStyle w:val="13"/>
              <w:spacing w:before="2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30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分）</w:t>
            </w:r>
          </w:p>
        </w:tc>
        <w:tc>
          <w:tcPr>
            <w:tcW w:w="6181" w:type="dxa"/>
            <w:gridSpan w:val="4"/>
          </w:tcPr>
          <w:p w14:paraId="581ABB0F">
            <w:pPr>
              <w:pStyle w:val="13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文题相符、结构合理</w:t>
            </w:r>
          </w:p>
        </w:tc>
        <w:tc>
          <w:tcPr>
            <w:tcW w:w="1279" w:type="dxa"/>
            <w:vMerge w:val="restart"/>
          </w:tcPr>
          <w:p w14:paraId="016018E1">
            <w:pPr>
              <w:pStyle w:val="13"/>
              <w:rPr>
                <w:rFonts w:ascii="Times New Roman"/>
                <w:sz w:val="22"/>
                <w:szCs w:val="22"/>
              </w:rPr>
            </w:pPr>
          </w:p>
        </w:tc>
      </w:tr>
      <w:tr w14:paraId="72FE47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  <w:jc w:val="center"/>
        </w:trPr>
        <w:tc>
          <w:tcPr>
            <w:tcW w:w="1190" w:type="dxa"/>
            <w:gridSpan w:val="2"/>
            <w:vMerge w:val="continue"/>
            <w:tcBorders>
              <w:top w:val="nil"/>
            </w:tcBorders>
            <w:vAlign w:val="center"/>
          </w:tcPr>
          <w:p w14:paraId="7DAD9DF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1" w:type="dxa"/>
            <w:gridSpan w:val="4"/>
          </w:tcPr>
          <w:p w14:paraId="536B663A">
            <w:pPr>
              <w:pStyle w:val="13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写作水平</w:t>
            </w:r>
          </w:p>
        </w:tc>
        <w:tc>
          <w:tcPr>
            <w:tcW w:w="1279" w:type="dxa"/>
            <w:vMerge w:val="continue"/>
            <w:tcBorders>
              <w:top w:val="nil"/>
            </w:tcBorders>
          </w:tcPr>
          <w:p w14:paraId="31398117">
            <w:pPr>
              <w:rPr>
                <w:sz w:val="22"/>
                <w:szCs w:val="22"/>
              </w:rPr>
            </w:pPr>
          </w:p>
        </w:tc>
      </w:tr>
      <w:tr w14:paraId="02405C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90" w:type="dxa"/>
            <w:gridSpan w:val="2"/>
            <w:vMerge w:val="continue"/>
            <w:tcBorders>
              <w:top w:val="nil"/>
            </w:tcBorders>
            <w:vAlign w:val="center"/>
          </w:tcPr>
          <w:p w14:paraId="0743EB9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1" w:type="dxa"/>
            <w:gridSpan w:val="4"/>
          </w:tcPr>
          <w:p w14:paraId="217954A2">
            <w:pPr>
              <w:pStyle w:val="13"/>
              <w:spacing w:before="10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写作规范</w:t>
            </w:r>
          </w:p>
        </w:tc>
        <w:tc>
          <w:tcPr>
            <w:tcW w:w="1279" w:type="dxa"/>
            <w:vMerge w:val="continue"/>
            <w:tcBorders>
              <w:top w:val="nil"/>
            </w:tcBorders>
          </w:tcPr>
          <w:p w14:paraId="236476B1">
            <w:pPr>
              <w:rPr>
                <w:sz w:val="22"/>
                <w:szCs w:val="22"/>
              </w:rPr>
            </w:pPr>
          </w:p>
        </w:tc>
      </w:tr>
      <w:tr w14:paraId="1995FB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90" w:type="dxa"/>
            <w:gridSpan w:val="2"/>
            <w:vMerge w:val="continue"/>
            <w:tcBorders>
              <w:top w:val="nil"/>
            </w:tcBorders>
            <w:vAlign w:val="center"/>
          </w:tcPr>
          <w:p w14:paraId="01DC529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1" w:type="dxa"/>
            <w:gridSpan w:val="4"/>
          </w:tcPr>
          <w:p w14:paraId="448897D8">
            <w:pPr>
              <w:pStyle w:val="13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报告字数</w:t>
            </w:r>
          </w:p>
        </w:tc>
        <w:tc>
          <w:tcPr>
            <w:tcW w:w="1279" w:type="dxa"/>
            <w:vMerge w:val="continue"/>
            <w:tcBorders>
              <w:top w:val="nil"/>
            </w:tcBorders>
          </w:tcPr>
          <w:p w14:paraId="130B46C0">
            <w:pPr>
              <w:rPr>
                <w:sz w:val="22"/>
                <w:szCs w:val="22"/>
              </w:rPr>
            </w:pPr>
          </w:p>
        </w:tc>
      </w:tr>
      <w:tr w14:paraId="69DEEE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  <w:jc w:val="center"/>
        </w:trPr>
        <w:tc>
          <w:tcPr>
            <w:tcW w:w="1190" w:type="dxa"/>
            <w:gridSpan w:val="2"/>
            <w:vMerge w:val="continue"/>
            <w:tcBorders>
              <w:top w:val="nil"/>
            </w:tcBorders>
            <w:vAlign w:val="center"/>
          </w:tcPr>
          <w:p w14:paraId="7740AC5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1" w:type="dxa"/>
            <w:gridSpan w:val="4"/>
          </w:tcPr>
          <w:p w14:paraId="31C733FF">
            <w:pPr>
              <w:pStyle w:val="13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理论或实际价值</w:t>
            </w:r>
          </w:p>
        </w:tc>
        <w:tc>
          <w:tcPr>
            <w:tcW w:w="1279" w:type="dxa"/>
            <w:vMerge w:val="continue"/>
            <w:tcBorders>
              <w:top w:val="nil"/>
            </w:tcBorders>
          </w:tcPr>
          <w:p w14:paraId="4FFA0E50">
            <w:pPr>
              <w:rPr>
                <w:sz w:val="22"/>
                <w:szCs w:val="22"/>
              </w:rPr>
            </w:pPr>
          </w:p>
        </w:tc>
      </w:tr>
      <w:tr w14:paraId="2C2F66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1190" w:type="dxa"/>
            <w:gridSpan w:val="2"/>
            <w:vAlign w:val="center"/>
          </w:tcPr>
          <w:p w14:paraId="06ABCDEE">
            <w:pPr>
              <w:pStyle w:val="13"/>
              <w:spacing w:before="9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特色与创新</w:t>
            </w:r>
          </w:p>
          <w:p w14:paraId="3CBAABA4">
            <w:pPr>
              <w:pStyle w:val="13"/>
              <w:spacing w:before="19" w:line="297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20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分）</w:t>
            </w:r>
          </w:p>
        </w:tc>
        <w:tc>
          <w:tcPr>
            <w:tcW w:w="6181" w:type="dxa"/>
            <w:gridSpan w:val="4"/>
          </w:tcPr>
          <w:p w14:paraId="3D08E563">
            <w:pPr>
              <w:pStyle w:val="13"/>
              <w:spacing w:before="172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独到的见解和创新</w:t>
            </w:r>
          </w:p>
        </w:tc>
        <w:tc>
          <w:tcPr>
            <w:tcW w:w="1279" w:type="dxa"/>
          </w:tcPr>
          <w:p w14:paraId="3566F3EB">
            <w:pPr>
              <w:pStyle w:val="13"/>
              <w:rPr>
                <w:rFonts w:ascii="Times New Roman"/>
                <w:sz w:val="22"/>
                <w:szCs w:val="22"/>
              </w:rPr>
            </w:pPr>
          </w:p>
        </w:tc>
      </w:tr>
      <w:tr w14:paraId="01DFEF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  <w:jc w:val="center"/>
        </w:trPr>
        <w:tc>
          <w:tcPr>
            <w:tcW w:w="7371" w:type="dxa"/>
            <w:gridSpan w:val="6"/>
          </w:tcPr>
          <w:p w14:paraId="5B3BA02C">
            <w:pPr>
              <w:pStyle w:val="13"/>
              <w:spacing w:before="52"/>
              <w:ind w:left="3097" w:right="3093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总分</w:t>
            </w:r>
          </w:p>
        </w:tc>
        <w:tc>
          <w:tcPr>
            <w:tcW w:w="1279" w:type="dxa"/>
          </w:tcPr>
          <w:p w14:paraId="028A2B66">
            <w:pPr>
              <w:pStyle w:val="13"/>
              <w:rPr>
                <w:rFonts w:ascii="Times New Roman"/>
                <w:sz w:val="22"/>
                <w:szCs w:val="22"/>
              </w:rPr>
            </w:pPr>
          </w:p>
        </w:tc>
      </w:tr>
      <w:tr w14:paraId="0A6EA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4" w:hRule="atLeast"/>
          <w:jc w:val="center"/>
        </w:trPr>
        <w:tc>
          <w:tcPr>
            <w:tcW w:w="704" w:type="dxa"/>
            <w:vAlign w:val="center"/>
          </w:tcPr>
          <w:p w14:paraId="51A85B1A">
            <w:pPr>
              <w:pStyle w:val="13"/>
              <w:spacing w:before="1" w:line="187" w:lineRule="auto"/>
              <w:ind w:left="227" w:right="214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指导教师评语</w:t>
            </w:r>
          </w:p>
        </w:tc>
        <w:tc>
          <w:tcPr>
            <w:tcW w:w="7946" w:type="dxa"/>
            <w:gridSpan w:val="6"/>
          </w:tcPr>
          <w:p w14:paraId="59917C43">
            <w:pPr>
              <w:pStyle w:val="13"/>
              <w:spacing w:before="5"/>
              <w:rPr>
                <w:rFonts w:ascii="黑体"/>
                <w:sz w:val="22"/>
                <w:szCs w:val="22"/>
              </w:rPr>
            </w:pPr>
          </w:p>
          <w:p w14:paraId="5180E78D">
            <w:pPr>
              <w:pStyle w:val="13"/>
              <w:rPr>
                <w:sz w:val="22"/>
                <w:szCs w:val="22"/>
              </w:rPr>
            </w:pPr>
          </w:p>
          <w:p w14:paraId="09CAAA4C">
            <w:pPr>
              <w:pStyle w:val="13"/>
              <w:spacing w:before="7"/>
              <w:rPr>
                <w:rFonts w:ascii="黑体"/>
                <w:sz w:val="22"/>
                <w:szCs w:val="22"/>
              </w:rPr>
            </w:pPr>
          </w:p>
          <w:p w14:paraId="39E8B3AB">
            <w:pPr>
              <w:pStyle w:val="13"/>
              <w:rPr>
                <w:sz w:val="22"/>
                <w:szCs w:val="22"/>
              </w:rPr>
            </w:pPr>
          </w:p>
          <w:p w14:paraId="367AB48F">
            <w:pPr>
              <w:pStyle w:val="13"/>
              <w:rPr>
                <w:sz w:val="22"/>
                <w:szCs w:val="22"/>
              </w:rPr>
            </w:pPr>
          </w:p>
          <w:p w14:paraId="57DC843D">
            <w:pPr>
              <w:pStyle w:val="13"/>
              <w:ind w:left="3028"/>
              <w:rPr>
                <w:sz w:val="22"/>
                <w:szCs w:val="22"/>
              </w:rPr>
            </w:pPr>
            <w:r>
              <w:rPr>
                <w:rFonts w:hint="eastAsia"/>
                <w:spacing w:val="-18"/>
                <w:sz w:val="22"/>
                <w:szCs w:val="22"/>
              </w:rPr>
              <w:t>指导教师签字：</w:t>
            </w:r>
          </w:p>
          <w:p w14:paraId="2DE5E651">
            <w:pPr>
              <w:pStyle w:val="13"/>
              <w:tabs>
                <w:tab w:val="left" w:pos="599"/>
                <w:tab w:val="left" w:pos="1200"/>
              </w:tabs>
              <w:ind w:right="576"/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年   月</w:t>
            </w:r>
            <w:r>
              <w:rPr>
                <w:sz w:val="22"/>
                <w:szCs w:val="22"/>
              </w:rPr>
              <w:tab/>
            </w:r>
            <w:r>
              <w:rPr>
                <w:rFonts w:hint="eastAsia"/>
                <w:sz w:val="22"/>
                <w:szCs w:val="22"/>
              </w:rPr>
              <w:t>日</w:t>
            </w:r>
          </w:p>
        </w:tc>
      </w:tr>
    </w:tbl>
    <w:p w14:paraId="246EF6B2">
      <w:pPr>
        <w:rPr>
          <w:rFonts w:hint="eastAsia"/>
        </w:rPr>
      </w:pPr>
    </w:p>
    <w:p w14:paraId="3DC1A3AE">
      <w:pPr>
        <w:rPr>
          <w:rFonts w:hint="eastAsia"/>
        </w:rPr>
        <w:sectPr>
          <w:footerReference r:id="rId3" w:type="default"/>
          <w:pgSz w:w="10318" w:h="14570"/>
          <w:pgMar w:top="851" w:right="1104" w:bottom="1418" w:left="993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sdt>
      <w:sdtP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id w:val="147463649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0091CFA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hint="eastAsia" w:ascii="黑体" w:hAnsi="黑体" w:eastAsia="黑体" w:cs="黑体"/>
              <w:b/>
              <w:bCs/>
              <w:sz w:val="30"/>
              <w:szCs w:val="30"/>
              <w:lang w:val="en-US" w:eastAsia="zh-CN"/>
            </w:rPr>
            <w:t>目  录</w: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"1-2" \h \u </w:instrTex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</w:p>
        <w:p w14:paraId="19EAE915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2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line="400" w:lineRule="exact"/>
            <w:textAlignment w:val="auto"/>
            <w:rPr>
              <w:rFonts w:eastAsia="黑体"/>
              <w:sz w:val="24"/>
            </w:rPr>
          </w:pP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HYPERLINK \l _Toc12715 </w:instrText>
          </w: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 w:val="24"/>
              <w:szCs w:val="30"/>
              <w:lang w:val="en-US" w:eastAsia="zh-CN"/>
            </w:rPr>
            <w:t>第1章 概要设计</w:t>
          </w:r>
          <w:r>
            <w:rPr>
              <w:rFonts w:eastAsia="黑体"/>
              <w:sz w:val="24"/>
            </w:rPr>
            <w:tab/>
          </w:r>
          <w:r>
            <w:rPr>
              <w:rFonts w:eastAsia="黑体"/>
              <w:sz w:val="24"/>
            </w:rPr>
            <w:fldChar w:fldCharType="begin"/>
          </w:r>
          <w:r>
            <w:rPr>
              <w:rFonts w:eastAsia="黑体"/>
              <w:sz w:val="24"/>
            </w:rPr>
            <w:instrText xml:space="preserve"> PAGEREF _Toc12715 \h </w:instrText>
          </w:r>
          <w:r>
            <w:rPr>
              <w:rFonts w:eastAsia="黑体"/>
              <w:sz w:val="24"/>
            </w:rPr>
            <w:fldChar w:fldCharType="separate"/>
          </w:r>
          <w:r>
            <w:rPr>
              <w:rFonts w:eastAsia="黑体"/>
              <w:sz w:val="24"/>
            </w:rPr>
            <w:t>1</w:t>
          </w:r>
          <w:r>
            <w:rPr>
              <w:rFonts w:eastAsia="黑体"/>
              <w:sz w:val="24"/>
            </w:rPr>
            <w:fldChar w:fldCharType="end"/>
          </w: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5D0EE594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2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eastAsia="宋体"/>
              <w:sz w:val="24"/>
            </w:rPr>
          </w:pP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HYPERLINK \l _Toc31964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宋体" w:cs="黑体"/>
              <w:bCs/>
              <w:sz w:val="24"/>
              <w:szCs w:val="28"/>
              <w:lang w:val="en-US" w:eastAsia="zh-CN"/>
            </w:rPr>
            <w:t>1.1 应用背景</w:t>
          </w:r>
          <w:r>
            <w:rPr>
              <w:rFonts w:eastAsia="宋体"/>
              <w:sz w:val="24"/>
            </w:rPr>
            <w:tab/>
          </w:r>
          <w:r>
            <w:rPr>
              <w:rFonts w:eastAsia="宋体"/>
              <w:sz w:val="24"/>
            </w:rPr>
            <w:fldChar w:fldCharType="begin"/>
          </w:r>
          <w:r>
            <w:rPr>
              <w:rFonts w:eastAsia="宋体"/>
              <w:sz w:val="24"/>
            </w:rPr>
            <w:instrText xml:space="preserve"> PAGEREF _Toc31964 \h </w:instrText>
          </w:r>
          <w:r>
            <w:rPr>
              <w:rFonts w:eastAsia="宋体"/>
              <w:sz w:val="24"/>
            </w:rPr>
            <w:fldChar w:fldCharType="separate"/>
          </w:r>
          <w:r>
            <w:rPr>
              <w:rFonts w:eastAsia="宋体"/>
              <w:sz w:val="24"/>
            </w:rPr>
            <w:t>1</w:t>
          </w:r>
          <w:r>
            <w:rPr>
              <w:rFonts w:eastAsia="宋体"/>
              <w:sz w:val="24"/>
            </w:rPr>
            <w:fldChar w:fldCharType="end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6E4C84D8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2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eastAsia="宋体"/>
              <w:sz w:val="24"/>
            </w:rPr>
          </w:pP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HYPERLINK \l _Toc29901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宋体" w:cs="黑体"/>
              <w:bCs/>
              <w:sz w:val="24"/>
              <w:szCs w:val="28"/>
              <w:lang w:val="en-US" w:eastAsia="zh-CN"/>
            </w:rPr>
            <w:t>1.2 设计目标</w:t>
          </w:r>
          <w:r>
            <w:rPr>
              <w:rFonts w:eastAsia="宋体"/>
              <w:sz w:val="24"/>
            </w:rPr>
            <w:tab/>
          </w:r>
          <w:r>
            <w:rPr>
              <w:rFonts w:eastAsia="宋体"/>
              <w:sz w:val="24"/>
            </w:rPr>
            <w:fldChar w:fldCharType="begin"/>
          </w:r>
          <w:r>
            <w:rPr>
              <w:rFonts w:eastAsia="宋体"/>
              <w:sz w:val="24"/>
            </w:rPr>
            <w:instrText xml:space="preserve"> PAGEREF _Toc29901 \h </w:instrText>
          </w:r>
          <w:r>
            <w:rPr>
              <w:rFonts w:eastAsia="宋体"/>
              <w:sz w:val="24"/>
            </w:rPr>
            <w:fldChar w:fldCharType="separate"/>
          </w:r>
          <w:r>
            <w:rPr>
              <w:rFonts w:eastAsia="宋体"/>
              <w:sz w:val="24"/>
            </w:rPr>
            <w:t>1</w:t>
          </w:r>
          <w:r>
            <w:rPr>
              <w:rFonts w:eastAsia="宋体"/>
              <w:sz w:val="24"/>
            </w:rPr>
            <w:fldChar w:fldCharType="end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5B5287F6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2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eastAsia="宋体"/>
              <w:sz w:val="24"/>
            </w:rPr>
          </w:pP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HYPERLINK \l _Toc8920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宋体" w:cs="黑体"/>
              <w:bCs/>
              <w:sz w:val="24"/>
              <w:szCs w:val="28"/>
              <w:lang w:val="en-US" w:eastAsia="zh-CN"/>
            </w:rPr>
            <w:t>1.3 主要功能概述</w:t>
          </w:r>
          <w:r>
            <w:rPr>
              <w:rFonts w:eastAsia="宋体"/>
              <w:sz w:val="24"/>
            </w:rPr>
            <w:tab/>
          </w:r>
          <w:r>
            <w:rPr>
              <w:rFonts w:eastAsia="宋体"/>
              <w:sz w:val="24"/>
            </w:rPr>
            <w:fldChar w:fldCharType="begin"/>
          </w:r>
          <w:r>
            <w:rPr>
              <w:rFonts w:eastAsia="宋体"/>
              <w:sz w:val="24"/>
            </w:rPr>
            <w:instrText xml:space="preserve"> PAGEREF _Toc8920 \h </w:instrText>
          </w:r>
          <w:r>
            <w:rPr>
              <w:rFonts w:eastAsia="宋体"/>
              <w:sz w:val="24"/>
            </w:rPr>
            <w:fldChar w:fldCharType="separate"/>
          </w:r>
          <w:r>
            <w:rPr>
              <w:rFonts w:eastAsia="宋体"/>
              <w:sz w:val="24"/>
            </w:rPr>
            <w:t>2</w:t>
          </w:r>
          <w:r>
            <w:rPr>
              <w:rFonts w:eastAsia="宋体"/>
              <w:sz w:val="24"/>
            </w:rPr>
            <w:fldChar w:fldCharType="end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54D4EBE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2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eastAsia="宋体"/>
              <w:sz w:val="24"/>
            </w:rPr>
          </w:pP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HYPERLINK \l _Toc12236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宋体" w:cs="黑体"/>
              <w:bCs/>
              <w:sz w:val="24"/>
              <w:szCs w:val="28"/>
              <w:lang w:val="en-US" w:eastAsia="zh-CN"/>
            </w:rPr>
            <w:t>1.4 技术路线概述</w:t>
          </w:r>
          <w:r>
            <w:rPr>
              <w:rFonts w:eastAsia="宋体"/>
              <w:sz w:val="24"/>
            </w:rPr>
            <w:tab/>
          </w:r>
          <w:r>
            <w:rPr>
              <w:rFonts w:eastAsia="宋体"/>
              <w:sz w:val="24"/>
            </w:rPr>
            <w:fldChar w:fldCharType="begin"/>
          </w:r>
          <w:r>
            <w:rPr>
              <w:rFonts w:eastAsia="宋体"/>
              <w:sz w:val="24"/>
            </w:rPr>
            <w:instrText xml:space="preserve"> PAGEREF _Toc12236 \h </w:instrText>
          </w:r>
          <w:r>
            <w:rPr>
              <w:rFonts w:eastAsia="宋体"/>
              <w:sz w:val="24"/>
            </w:rPr>
            <w:fldChar w:fldCharType="separate"/>
          </w:r>
          <w:r>
            <w:rPr>
              <w:rFonts w:eastAsia="宋体"/>
              <w:sz w:val="24"/>
            </w:rPr>
            <w:t>3</w:t>
          </w:r>
          <w:r>
            <w:rPr>
              <w:rFonts w:eastAsia="宋体"/>
              <w:sz w:val="24"/>
            </w:rPr>
            <w:fldChar w:fldCharType="end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6EA15FE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2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</w:pP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HYPERLINK \l _Toc31138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宋体" w:cs="黑体"/>
              <w:bCs/>
              <w:sz w:val="24"/>
              <w:szCs w:val="28"/>
              <w:lang w:val="en-US" w:eastAsia="zh-CN"/>
            </w:rPr>
            <w:t>1.5 系统总体架构</w:t>
          </w:r>
          <w:r>
            <w:rPr>
              <w:rFonts w:eastAsia="宋体"/>
              <w:sz w:val="24"/>
            </w:rPr>
            <w:tab/>
          </w:r>
          <w:r>
            <w:rPr>
              <w:rFonts w:eastAsia="宋体"/>
              <w:sz w:val="24"/>
            </w:rPr>
            <w:fldChar w:fldCharType="begin"/>
          </w:r>
          <w:r>
            <w:rPr>
              <w:rFonts w:eastAsia="宋体"/>
              <w:sz w:val="24"/>
            </w:rPr>
            <w:instrText xml:space="preserve"> PAGEREF _Toc31138 \h </w:instrText>
          </w:r>
          <w:r>
            <w:rPr>
              <w:rFonts w:eastAsia="宋体"/>
              <w:sz w:val="24"/>
            </w:rPr>
            <w:fldChar w:fldCharType="separate"/>
          </w:r>
          <w:r>
            <w:rPr>
              <w:rFonts w:eastAsia="宋体"/>
              <w:sz w:val="24"/>
            </w:rPr>
            <w:t>4</w:t>
          </w:r>
          <w:r>
            <w:rPr>
              <w:rFonts w:eastAsia="宋体"/>
              <w:sz w:val="24"/>
            </w:rPr>
            <w:fldChar w:fldCharType="end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0FB469E8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2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line="400" w:lineRule="exact"/>
            <w:textAlignment w:val="auto"/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HYPERLINK \l _Toc26684 </w:instrText>
          </w: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第2章 详细设计</w:t>
          </w: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PAGEREF _Toc26684 \h </w:instrText>
          </w: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5</w:t>
          </w: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041BD1E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2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HYPERLINK \l _Toc7567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2.1 界面设计规范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PAGEREF _Toc7567 \h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5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0EF7E98F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2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HYPERLINK \l _Toc2532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2.2 首页模块设计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PAGEREF _Toc2532 \h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6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7B0B8BDA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2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HYPERLINK \l _Toc12518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2.3 病虫害识别模块设计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PAGEREF _Toc12518 \h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7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7FC8747A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2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HYPERLINK \l _Toc1291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2.4 识别结果模块设计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PAGEREF _Toc1291 \h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9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6DDA1C07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2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HYPERLINK \l _Toc17803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2.5 智能问诊模块设计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PAGEREF _Toc17803 \h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10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E1FBB1A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2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HYPERLINK \l _Toc17393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2.6 农友交流模块设计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PAGEREF _Toc17393 \h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14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A96B561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2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HYPERLINK \l _Toc25851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2.7 个人中心模块设计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PAGEREF _Toc25851 \h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17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3621B6CD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2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HYPERLINK \l _Toc22870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2.8 底部导航与全局交互设计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PAGEREF _Toc22870 \h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22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E44748B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2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HYPERLINK \l _Toc12622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2.9 后端云函数与 AI 问诊服务设计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PAGEREF _Toc12622 \h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22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BDA64AD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2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HYPERLINK \l _Toc6142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2.10 云托管 ai-service 模块设计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PAGEREF _Toc6142 \h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23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3254059D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2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HYPERLINK \l _Toc12052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2.11 管理后台模块设计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PAGEREF _Toc12052 \h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24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5FA06302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2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</w:pP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HYPERLINK \l _Toc914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2.12 数据库概念设计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PAGEREF _Toc914 \h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29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5116CE64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2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line="400" w:lineRule="exact"/>
            <w:textAlignment w:val="auto"/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HYPERLINK \l _Toc1862 </w:instrText>
          </w: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第3章 开发总结</w:t>
          </w: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PAGEREF _Toc1862 \h </w:instrText>
          </w: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29</w:t>
          </w: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eastAsia="黑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010CB9BD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2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HYPERLINK \l _Toc19793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3.1 开发过程回顾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PAGEREF _Toc19793 \h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29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65BBF99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221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00" w:lineRule="exact"/>
            <w:textAlignment w:val="auto"/>
          </w:pP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HYPERLINK \l _Toc18857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3.2 学习收获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ab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instrText xml:space="preserve"> PAGEREF _Toc18857 \h </w:instrTex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t>30</w:t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  <w:r>
            <w:rPr>
              <w:rFonts w:hint="eastAsia" w:eastAsia="宋体" w:asciiTheme="minorHAnsi" w:hAnsiTheme="minorHAnsi" w:cstheme="minorBidi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00AFA6A9">
          <w:pP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sectPr>
              <w:footerReference r:id="rId4" w:type="default"/>
              <w:pgSz w:w="10318" w:h="14570"/>
              <w:pgMar w:top="851" w:right="1104" w:bottom="1418" w:left="993" w:header="851" w:footer="992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pgNumType w:fmt="decimal" w:start="1"/>
              <w:cols w:space="425" w:num="1"/>
              <w:docGrid w:type="lines" w:linePitch="312" w:charSpace="0"/>
            </w:sectPr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2722320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400" w:line="400" w:lineRule="exact"/>
        <w:jc w:val="center"/>
        <w:textAlignment w:val="auto"/>
        <w:outlineLvl w:val="0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bookmarkStart w:id="3" w:name="_Toc18713"/>
      <w:bookmarkStart w:id="4" w:name="_Toc12715"/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第1章 概要设计</w:t>
      </w:r>
      <w:bookmarkEnd w:id="3"/>
      <w:bookmarkEnd w:id="4"/>
    </w:p>
    <w:p w14:paraId="10A3CFB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outlineLvl w:val="1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5" w:name="_Toc31885"/>
      <w:bookmarkStart w:id="6" w:name="_Toc31964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1.1 应用背景</w:t>
      </w:r>
      <w:bookmarkEnd w:id="5"/>
      <w:bookmarkEnd w:id="6"/>
    </w:p>
    <w:p w14:paraId="6F723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农业是国民经济的基础产业，农作物病虫害的早W发现、早诊断、早防治，直接关系到粮食安全与农民增收。然而在基层生产实践中，大量农户仍主要依靠肉眼经验判断病害类型，存在识别滞后、误判率高、防治方案不专业等问题。尤其在病害发生初期，叶片症状往往不够典型，普通农户很难区分相似病斑，容易延误最佳防治窗口。</w:t>
      </w:r>
    </w:p>
    <w:p w14:paraId="11CA4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近年来，移动互联网与人工智能技术为上述痛点提供了新的解决思路。智能手机在农村地区的普及率不断提高，农户可以方便地拍摄作物叶片照片；深度学习在图像分类领域取得显著进展，PlantVillage 等公开数据集推动了植物病害自动识别研究；大语言模型则在自然语言理解与知识问答方面表现突出，可将识别结果转化为通俗易懂的防治建议。微信小程序具有“无需安装、用完即走、与微信生态深度融合”的特点，非常适合作为面向农户的服务入口。</w:t>
      </w:r>
    </w:p>
    <w:p w14:paraId="37432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在此背景下，本课程设计选取“云农智诊”作为项目名称，以微信小程序为客户端，以微信云开发为后端基础设施，融合 NFNet-F1 病害识别模型与 DeepSeek 大语言模型，构建面向农户的移动端农业智能问诊系统。该系统具有一定的理论意义与实践价值，能够为智慧农业信息化应用提供参考样例。</w:t>
      </w:r>
    </w:p>
    <w:p w14:paraId="66C1A4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outlineLvl w:val="1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7" w:name="_Toc22454"/>
      <w:bookmarkStart w:id="8" w:name="_Toc29901"/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1.2 设计目标</w:t>
      </w:r>
      <w:bookmarkEnd w:id="7"/>
      <w:bookmarkEnd w:id="8"/>
    </w:p>
    <w:p w14:paraId="7879F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本系统立足农业种植实际需求，依托轻量化、智能化的技术架构，聚焦农户种植痛点，核心设计目标主要包括以下五个方面：</w:t>
      </w:r>
    </w:p>
    <w:p w14:paraId="1871B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第一，降低用户使用门槛。系统基于微信小程序搭建，无需用户下载、安装及注册专属应用，农户可直接通过微信快速打开程序，按需选择作物类型、上传作物叶片影像，即可快速获取精准的病虫害识别结果与专业诊疗建议，操作流程简洁直观，适配基层农户的移动端使用习惯，有效降低智慧农业技术的普及与使用门槛。</w:t>
      </w:r>
    </w:p>
    <w:p w14:paraId="3F3FE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第二，提升病虫害识别精准度。系统搭载经大规模植物病害数据集充分训练的 NFNet-F1 深度学习模型，可实现23种常见经济作物、88类作物病害及健康状态的精准分类识别。同时采用前置作物分类筛选机制，由用户提前选定对应作物品类，有效缩小模型识别判定范围，规避跨品类识别偏差，大幅提升病虫害识别结果的准确率与可信度。</w:t>
      </w:r>
    </w:p>
    <w:p w14:paraId="30DD7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第三，强化智能服务交互能力。系统打通AI识别与大模型智能服务链路，完成病虫害识别后，可自动调用DeepSeek大语言模型，结合用户所选作物种类、识别病害类型及模型置信度信息，智能生成结构化诊断报告，清晰列明病害发病诱因、传播扩散途径、综合防治方案、合规药剂使用指南及日常养护预防措施。同时支持用户多轮连续追问，可针对性解答各类种植养护、病害治理问题，实现全天候、交互式智能问诊服务。</w:t>
      </w:r>
    </w:p>
    <w:p w14:paraId="10C3D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第四，搭建综合性辅助服务体系。系统配套完善多元化辅助功能，涵盖农友交流社区、前沿农业资讯浏览、历史诊断记录存档、用户意见反馈等模块。既为农户搭建了经验互通、技术交流的互动平台，也为用户提供了便捷的农业信息获取、历史数据查询渠道，丰富系统服务场景、提升用户粘性，构建一体化、全方位的智慧农业服务平台。</w:t>
      </w:r>
    </w:p>
    <w:p w14:paraId="7FB5C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第五，保障系统工程落地性与实用性。系统整体采用微信云开发Serverless架构，整合云函数、云数据库、云存储、云托管等核心云能力，无需搭建、维护传统服务器集群，有效降低系统硬件投入、运维成本与人力成本。同时系统采用模块化设计，结构清晰、兼容性强，便于功能迭代、线上调试与常态化稳定运行，具备良好的实用性、稳定性与落地价值。</w:t>
      </w:r>
    </w:p>
    <w:p w14:paraId="117E6C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outlineLvl w:val="1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9" w:name="_Toc30812"/>
      <w:bookmarkStart w:id="10" w:name="_Toc8920"/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1.3 主要功能概述</w:t>
      </w:r>
      <w:bookmarkEnd w:id="9"/>
      <w:bookmarkEnd w:id="10"/>
    </w:p>
    <w:p w14:paraId="58F4F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“云农智诊”系统从用户视角可划分为五大功能模块，各模块既相对独立，又通过业务流程紧密衔接。</w:t>
      </w:r>
    </w:p>
    <w:p w14:paraId="614FB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outlineLvl w:val="2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（1）首页模块</w:t>
      </w:r>
    </w:p>
    <w:p w14:paraId="10B9E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作为应用入口，展示欢迎信息、四宫格快捷功能入口（病虫害识别、AI 问诊、农友交流、诊断记录）、常见病害科普轮播以及今日农业资讯列表。用户可由此快速进入各子功能，并获取与当前农时相关的参考信息。</w:t>
      </w:r>
    </w:p>
    <w:p w14:paraId="109DA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outlineLvl w:val="2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（2）病虫害识别模块 </w:t>
      </w:r>
    </w:p>
    <w:p w14:paraId="44246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用户首先选择作物种类（如水稻、小麦、玉米、番茄等 23 种），再通过拍照或相册上传叶片图片。系统将图片上传至云存储，由云函数调用云托管中的 NFNet-F1 推理服务完成识别，返回病害名称、置信度与危害等级，并跳转至识别结果页展示。</w:t>
      </w:r>
    </w:p>
    <w:p w14:paraId="4E865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outlineLvl w:val="2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（3）智能问诊模块</w:t>
      </w:r>
    </w:p>
    <w:p w14:paraId="65AAD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包含两种使用方式：一是识别完成后一键进入“智能诊断”，系统根据识别记录自动生成结构化防治建议；二是用户自由输入农业问题，与大语言模型进行多轮对话。问诊界面采用即时通讯式布局，支持消息气泡展示、思考状态提示与键盘自适应。</w:t>
      </w:r>
    </w:p>
    <w:p w14:paraId="50CE4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outlineLvl w:val="2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（4）农友交流模块</w:t>
      </w:r>
    </w:p>
    <w:p w14:paraId="4868A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用户可浏览社区帖子列表，查看其他农友或官方发布的讨论与科普内容，支持发布新帖、查看详情、发表评论与收藏。新发布内容需经管理后台审核通过后公开展示，以保证内容质量。</w:t>
      </w:r>
    </w:p>
    <w:p w14:paraId="61455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outlineLvl w:val="2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（5）个人中心模块</w:t>
      </w:r>
    </w:p>
    <w:p w14:paraId="218FF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展示用户昵称与头像，提供“我的诊断历史”“我的收藏”“意见反馈”“关于我们”等入口。诊断历史记录识别时间、作物、病害名称、置信度与等级，便于用户回溯过往防治情况。</w:t>
      </w:r>
    </w:p>
    <w:p w14:paraId="790F9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此外，系统还包含农业资讯列表与详情、官方病害库详情、帖子发布与详情等辅助页面，以及基于 Vue3 的管理后台，用于资讯维护、社区审核与病害库管理。</w:t>
      </w:r>
    </w:p>
    <w:p w14:paraId="093DA5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11" w:name="_Toc2040"/>
      <w:bookmarkStart w:id="12" w:name="_Toc12236"/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1.4 技术路线概述</w:t>
      </w:r>
      <w:bookmarkEnd w:id="11"/>
      <w:bookmarkEnd w:id="12"/>
    </w:p>
    <w:p w14:paraId="36A08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本系统采用微信小程序、微信云开发、云托管 AI 推理以及大模型 API 的技术路线</w:t>
      </w:r>
    </w:p>
    <w:p w14:paraId="28C6E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前端使用微信小程序原生框架（WXML、WXSS、JavaScript）开发，采用自定义 TabBar 实现五栏底部导航，主色调为农业绿色，整体风格简洁、清晰，符合移动端操作习惯。</w:t>
      </w:r>
    </w:p>
    <w:p w14:paraId="74415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后端业务逻辑封装在api云函数中，统一对外提供登录、首页数据、识别、诊断、聊天、社区、资讯等接口。数据持久化使用云数据库 NoSQL 集合，包括用户、识别记录、诊断记录、聊天会话、帖子、评论、收藏、资讯、病害库等。用户上传的识别图片存储于云存储。</w:t>
      </w:r>
    </w:p>
    <w:p w14:paraId="1FB7D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病虫害识别服务部署于微信云托管，基于 FastAPI 框架加载 NFNet-F1 模型权重，提供predict与health接口。云函数通过 HTTP 公网地址调用云托管服务，单次识别超时设置为 60 秒，以适配模型推理与冷启动耗时。</w:t>
      </w:r>
    </w:p>
    <w:p w14:paraId="74F32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智能问诊服务通过 OpenAI 兼容接口调用 DeepSeek 大语言模型，由云函数构造 Prompt 并解析返回内容，生成结构化诊断结果或聊天回复。</w:t>
      </w:r>
    </w:p>
    <w:p w14:paraId="74D95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上述架构实现了前后端分离、AI 能力服务化与 Serverless 运维，适配农业场景轻量化、低成本、易部署的落地需求，无需复杂服务器运维配置，能够有效降低系统运营与维护成本。同时模块化的服务架构可实现各功能独立迭代、灵活拓展，既保障了病虫害识别、智能问诊等核心功能的稳定运行，也便于后续新增农业服务模块、优化模型精度与交互功能，适配基层农户、农业技术推广等多场景的移动端使用需求，具备良好的实用性、扩展性与落地推广价值。</w:t>
      </w:r>
    </w:p>
    <w:p w14:paraId="72557E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outlineLvl w:val="1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13" w:name="_Toc11439"/>
      <w:bookmarkStart w:id="14" w:name="_Toc31138"/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1.5 系统总体架构</w:t>
      </w:r>
      <w:bookmarkEnd w:id="13"/>
      <w:bookmarkEnd w:id="14"/>
    </w:p>
    <w:p w14:paraId="23B11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从逻辑层次看，系统自上而下分为四层：</w:t>
      </w:r>
    </w:p>
    <w:p w14:paraId="7E1FB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表现层：微信小程序各功能页面，负责交互展示与用户输入采集。</w:t>
      </w:r>
    </w:p>
    <w:p w14:paraId="1AF65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业务层：api云函数，负责鉴权、业务流程编排、数据读写与外部 AI 服务调用。</w:t>
      </w:r>
    </w:p>
    <w:p w14:paraId="7F30D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数据层：云数据库各业务集合与云存储中的用户图片、封面等资源。</w:t>
      </w:r>
    </w:p>
    <w:p w14:paraId="74D3B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智能服务层：云托管 NFNet-F1 识别服务与大语言模型 API，提供核心 AI 能力。</w:t>
      </w:r>
    </w:p>
    <w:p w14:paraId="27569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管理后台通过 HTTP 方式调用admin云函数，与小程序共用同一云环境数据，实现内容与社区审核管理。</w:t>
      </w:r>
    </w:p>
    <w:p w14:paraId="754F5F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</w:p>
    <w:p w14:paraId="74B9838D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 w14:paraId="4B633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20" w:firstLineChars="200"/>
        <w:jc w:val="center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33240" cy="3862705"/>
            <wp:effectExtent l="0" t="0" r="10160" b="10795"/>
            <wp:docPr id="1" name="图片 1" descr="architecture-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rchitecture-diagr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6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图1-1 云农智诊系统总体架构</w:t>
      </w:r>
    </w:p>
    <w:p w14:paraId="1D2871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400" w:line="400" w:lineRule="exact"/>
        <w:jc w:val="center"/>
        <w:textAlignment w:val="auto"/>
        <w:outlineLvl w:val="0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bookmarkStart w:id="15" w:name="_Toc2903"/>
      <w:bookmarkStart w:id="16" w:name="_Toc26684"/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第2章 详细设计</w:t>
      </w:r>
      <w:bookmarkEnd w:id="15"/>
      <w:bookmarkEnd w:id="16"/>
    </w:p>
    <w:p w14:paraId="0689BE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17" w:name="_Toc29348"/>
      <w:bookmarkStart w:id="18" w:name="_Toc7567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2.1 界面设计规范</w:t>
      </w:r>
      <w:bookmarkEnd w:id="17"/>
      <w:bookmarkEnd w:id="18"/>
    </w:p>
    <w:p w14:paraId="6BF54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为保证各页面视觉统一，系统在 app.wxss 中定义了全局样式规范。导航栏背景色为 #28B446，标题文字为白色，页面背景为浅灰 #F7F8FA。内容区普遍采用白色圆角卡片（section-card）布局，卡片间距与内边距统一，提升可读性。底部 TabBar 采用自定义组件实现，五个 Tab 分别为首页、诊断、识别（居中突出）、社区、我的，选中态以主题绿色高亮。</w:t>
      </w:r>
    </w:p>
    <w:p w14:paraId="3A4D9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子页面统一使用 sub-page-header 组件作为顶栏，分 primary、secondary 两档样式，均包含返回按钮、居中标题与状态栏高度适配，减少重复开发并保证导航体验一致。</w:t>
      </w:r>
    </w:p>
    <w:p w14:paraId="4F7F29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19" w:name="_Toc13793"/>
      <w:bookmarkStart w:id="20" w:name="_Toc2532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2.2 首页模块设计</w:t>
      </w:r>
      <w:bookmarkEnd w:id="19"/>
      <w:bookmarkEnd w:id="20"/>
    </w:p>
    <w:p w14:paraId="76A4C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首页是用户进入小程序后的第一屏，整体采用纵向滚动布局，自上而下分为四个区域。</w:t>
      </w:r>
    </w:p>
    <w:p w14:paraId="312A6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Hero 欢迎区位于页面顶部，使用背景图与绿色渐变遮罩营造农业氛围，展示“欢迎使用云农智诊”“AI 助力智慧农业”等文案，并根据设备状态栏高度动态调整顶部留白，避免内容被遮挡。</w:t>
      </w:r>
    </w:p>
    <w:p w14:paraId="1CF7E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快捷功能四宫格位于 Hero 区下方，以卡片形式排列四个入口：病虫害识别、AI 问诊、农友交流、诊断记录。每个入口包含图标与文字标签，点击后通过 switchTab 或 navigateTo 跳转至对应页面。该设计符合移动端“高频功能一步直达”的交互原则。</w:t>
      </w:r>
    </w:p>
    <w:p w14:paraId="0E226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常见病害科普区以轮播形式展示经审核通过的科普类帖子，每页一张卡片，包含封面图与标题，支持自动轮播与手动滑动。</w:t>
      </w:r>
    </w:p>
    <w:p w14:paraId="4AC42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今日农业资讯区展示最新发布的若干条农业资讯，每条包含标题、摘要、发布时间与缩略图。点击单条进入资讯详情，点击区块标题可进入资讯列表页。该模块有助于用户获取农时政策、预警信息与技术动态。</w:t>
      </w:r>
    </w:p>
    <w:p w14:paraId="32E35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资讯模块提供列表分页浏览与详情阅读，内容来源于云数据库 news 集合，仅 published 状态资讯对外展示。cron-news 云函数可定时生成资讯草稿，由管理员发布后出现在首页与列表中。</w:t>
      </w:r>
    </w:p>
    <w:p w14:paraId="38538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首页数据由云函数 home 接口聚合返回，包括轮播配置、科普帖子与资讯列表，实现内容与展示的分离。</w:t>
      </w:r>
    </w:p>
    <w:p w14:paraId="320D9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7AC2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80" w:firstLineChars="200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992630" cy="4319905"/>
            <wp:effectExtent l="0" t="0" r="1270" b="10795"/>
            <wp:docPr id="2" name="图片 2" descr="D6CD1FC607E74CD7708B7F2590A25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6CD1FC607E74CD7708B7F2590A25294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A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>图 2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-1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 xml:space="preserve"> 首页界面</w:t>
      </w:r>
    </w:p>
    <w:p w14:paraId="708F4D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21" w:name="_Toc14318"/>
      <w:bookmarkStart w:id="22" w:name="_Toc12518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2.3 病虫害识别模块设计</w:t>
      </w:r>
      <w:bookmarkEnd w:id="21"/>
      <w:bookmarkEnd w:id="22"/>
    </w:p>
    <w:p w14:paraId="78652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识别页是系统的核心功能入口之一，页面结构清晰，操作流程明确。</w:t>
      </w:r>
    </w:p>
    <w:p w14:paraId="3692C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顶部导航使用 sub-page-header 组件，标题为“病虫害识别”，左侧返回按钮可回到首页。</w:t>
      </w:r>
    </w:p>
    <w:p w14:paraId="7CB51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作物选择区以标签云（crop-grid）形式展示 23 种作物，其中水稻、小麦、玉米、番茄、黄瓜五种常用作物优先排列。用户必须单选一种作物，选中项显示勾选标记与绿色高亮边框。该步骤用于后续模型推理时的类别过滤，避免跨作物误判。</w:t>
      </w:r>
    </w:p>
    <w:p w14:paraId="447C8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图片上传区提供两种来源：拍照识别与相册上传。未选择图片时显示相机与叶片占位图标；选择后显示预览图，右上角提供删除按钮可重新选择。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上</w:t>
      </w: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方附有拍摄建议文案，提示用户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拍摄病害部位特写，识别更准确</w:t>
      </w: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。</w:t>
      </w:r>
    </w:p>
    <w:p w14:paraId="187D8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提交按钮“开始识别”默认禁用，仅当已选作物且已有图片时可点击。点击后按钮进入 loading 状态，并弹出“AI 识别中…”加载提示。系统将图片上传至云存储，再调用云函数 detect 接口，超时时间设置为 60 秒，以适配模型推理耗时。</w:t>
      </w:r>
    </w:p>
    <w:p w14:paraId="3F596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识别后端流程具体如下：云函数首先获取云存储中用户上传图片的临时访问URL，通过HTTP请求调用云托管部署的/predict推理接口，由NFNet-F1模型完成图像推理并输出对应的病害类别与置信度参数。系统对模型原始推理结果进行解析转换，自动匹配映射为对应的中文病害名称并划分危害等级，随后将完整的识别数据写入云数据库的detect_records集合进行持久化存储，最终将标准化的识别结果返回给前端页面展示。</w:t>
      </w:r>
    </w:p>
    <w:p w14:paraId="67E8E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80" w:firstLineChars="200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93265" cy="4319905"/>
            <wp:effectExtent l="0" t="0" r="635" b="1079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431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D91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 xml:space="preserve">图 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2-2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 xml:space="preserve"> 病虫害识别</w:t>
      </w:r>
      <w:bookmarkStart w:id="47" w:name="_GoBack"/>
      <w:bookmarkEnd w:id="47"/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>页界面</w:t>
      </w:r>
    </w:p>
    <w:p w14:paraId="6EA1D01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93265" cy="4319905"/>
            <wp:effectExtent l="0" t="0" r="635" b="10795"/>
            <wp:docPr id="5" name="图片 5" descr="F7008912D22A5D419F8DD638BB902C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7008912D22A5D419F8DD638BB902CF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7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 xml:space="preserve">图 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2-3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上传图片后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>病虫害识别页界面</w:t>
      </w:r>
    </w:p>
    <w:p w14:paraId="577B49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23" w:name="_Toc26860"/>
      <w:bookmarkStart w:id="24" w:name="_Toc1291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2.4 识别结果模块设计</w:t>
      </w:r>
      <w:bookmarkEnd w:id="23"/>
      <w:bookmarkEnd w:id="24"/>
    </w:p>
    <w:p w14:paraId="5AC46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识别完成后跳转至结果页，向用户直观展示 AI 判定结论。</w:t>
      </w:r>
    </w:p>
    <w:p w14:paraId="1D174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病害信息卡片以大号绿色文字显示病害中文名称（如“黄锈病”“普通锈病”等），下方标注识别来源标签：“NFNet-F1 识别”表示真实模型推。病害等级以彩色标签展示（轻度/中度/重度），等级由置信度区间映射：低于 50% 为轻度，50%～80% 为中度，80% 及以上为重度。置信度以百分比形式精确到小数点后一位。</w:t>
      </w:r>
    </w:p>
    <w:p w14:paraId="22E81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病害图片对比区采用左右双列布局。左侧“用户图片”展示本次上传的叶片照片（通过云存储临时链接加载）；右侧“标准病害图”展示官方病害样例图，便于用户对照症状。</w:t>
      </w:r>
    </w:p>
    <w:p w14:paraId="4931A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操作按钮区提供两个后续路径：“立即智能诊断”跳转至 AI 问诊 Tab，并携带本次识别记录 ID，触发自动诊断；“查看农友相关讨论”跳转至社区 Tab，方便用户浏览相关经验帖。</w:t>
      </w:r>
    </w:p>
    <w:p w14:paraId="2EF5A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该页面完成了从“机器输出”到“用户理解”的信息转化，是连接识别与问诊的关键枢纽。</w:t>
      </w:r>
    </w:p>
    <w:p w14:paraId="50AF6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20" w:firstLineChars="200"/>
        <w:jc w:val="center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93265" cy="4319905"/>
            <wp:effectExtent l="0" t="0" r="635" b="10795"/>
            <wp:docPr id="6" name="图片 6" descr="4359C21B713DFBFAAD88F18BB4E526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359C21B713DFBFAAD88F18BB4E526B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4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 xml:space="preserve">图 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2-4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 xml:space="preserve"> 病虫害识别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结果显示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>页界面</w:t>
      </w:r>
    </w:p>
    <w:p w14:paraId="728933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25" w:name="_Toc8500"/>
      <w:bookmarkStart w:id="26" w:name="_Toc17803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2.5 智能问诊模块设计</w:t>
      </w:r>
      <w:bookmarkEnd w:id="25"/>
      <w:bookmarkEnd w:id="26"/>
    </w:p>
    <w:p w14:paraId="6B7AA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智能问诊页采用类即时通讯（IM）布局，兼顾自动诊断与自由问答两种场景。</w:t>
      </w:r>
    </w:p>
    <w:p w14:paraId="13A46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顶部导航标题为“AI 问诊”，进入该页时底部 TabBar 自动隐藏，营造沉浸式对话体验；离开页面时恢复 TabBar 显示。</w:t>
      </w:r>
    </w:p>
    <w:p w14:paraId="4EBE9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消息列表区支持 AI 与用户两类消息气泡。AI 消息左对齐，带 AI 头像；用户消息右对齐，带用户头像。每条消息下方显示发送时间，用户消息在发送成功后显示“已发送”状态。首次进入且无消息时，展示引导文案：“有任何农业问题…都可以在这里提问…”</w:t>
      </w:r>
    </w:p>
    <w:p w14:paraId="347E5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自动诊断流程：从识别结果页跳转而来时，系统读取 pendingDetectId，自动调用 diagnose 接口。云函数根据识别记录中的作物、病害与置信度构造 Prompt，请求 DeepSeek 模型返回 JSON 结构化内容，包括发病原因、传播方式、推荐措施、药剂建议与预防措施，并格式化为 AI 助手消息插入对话区。处理期间显示“AI 正在思考中…”及三点跳动动画。</w:t>
      </w:r>
    </w:p>
    <w:p w14:paraId="1EC6B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center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93265" cy="4319905"/>
            <wp:effectExtent l="0" t="0" r="635" b="10795"/>
            <wp:docPr id="8" name="图片 8" descr="6F2C6F43E11A5064084F6501E069EA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F2C6F43E11A5064084F6501E069EAE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E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jc w:val="center"/>
        <w:textAlignment w:val="auto"/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 xml:space="preserve">图 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2-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>5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 xml:space="preserve">  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>AI问诊自动诊断界面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（a）</w:t>
      </w:r>
    </w:p>
    <w:p w14:paraId="25A54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20" w:firstLineChars="200"/>
        <w:jc w:val="center"/>
        <w:textAlignment w:val="auto"/>
        <w:rPr>
          <w:rFonts w:hint="eastAsia" w:eastAsiaTheme="minorEastAsia"/>
          <w:lang w:eastAsia="zh-CN"/>
        </w:rPr>
      </w:pPr>
    </w:p>
    <w:p w14:paraId="62A65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20" w:firstLineChars="200"/>
        <w:jc w:val="center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93265" cy="4319905"/>
            <wp:effectExtent l="0" t="0" r="635" b="10795"/>
            <wp:docPr id="9" name="图片 9" descr="6999B7D2B9DF4AE2DCFCEB42972EAC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999B7D2B9DF4AE2DCFCEB42972EACA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9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 xml:space="preserve">图 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 xml:space="preserve">2-6  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>AI问诊自动诊断界面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（b）</w:t>
      </w:r>
    </w:p>
    <w:p w14:paraId="61180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自由问答流程：用户在底部输入框输入问题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或</w:t>
      </w: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点击语音按钮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语音输入</w:t>
      </w: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（如“玉米叶子发黄怎么办？”），点击发送后调用 chatSend 接口。云函数维护 chat_sessions 与 chat_messages 会话历史，将多轮上下文一并提交大模型，返回回复后追加至消息列表。输入框支持键盘高度自适应，避免遮挡输入内容。</w:t>
      </w:r>
    </w:p>
    <w:p w14:paraId="624C8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jc w:val="both"/>
        <w:textAlignment w:val="auto"/>
        <w:rPr>
          <w:rFonts w:hint="eastAsia" w:eastAsiaTheme="minorEastAsia"/>
          <w:lang w:eastAsia="zh-CN"/>
        </w:rPr>
      </w:pPr>
    </w:p>
    <w:p w14:paraId="7AB64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80" w:firstLineChars="200"/>
        <w:jc w:val="center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993265" cy="4319905"/>
            <wp:effectExtent l="0" t="0" r="635" b="10795"/>
            <wp:docPr id="10" name="图片 10" descr="D10C0FC9ACCDD1015A6601F7BE5435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10C0FC9ACCDD1015A6601F7BE54354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9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eastAsia" w:eastAsiaTheme="minorEastAsia"/>
          <w:lang w:eastAsia="zh-CN"/>
        </w:rPr>
      </w:pP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 xml:space="preserve">图 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 xml:space="preserve">2-7  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>AI自由问答界面</w:t>
      </w:r>
    </w:p>
    <w:p w14:paraId="6A0186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</w:p>
    <w:p w14:paraId="564497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</w:p>
    <w:p w14:paraId="02D394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</w:p>
    <w:p w14:paraId="53D4A4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</w:p>
    <w:p w14:paraId="2013B3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</w:p>
    <w:p w14:paraId="7A8E59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27" w:name="_Toc1155"/>
      <w:bookmarkStart w:id="28" w:name="_Toc17393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2.6 农友交流模块设计</w:t>
      </w:r>
      <w:bookmarkEnd w:id="27"/>
      <w:bookmarkEnd w:id="28"/>
    </w:p>
    <w:p w14:paraId="49A60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社区模块为农户提供经验分享与信息交流空间。</w:t>
      </w:r>
    </w:p>
    <w:p w14:paraId="38839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列表页顶部为“农友交流”标题与“发布帖子”按钮。帖子以卡片形式纵向排列，每张卡片包含标题、作者昵称、内容摘要，以及“官方”“科普”“置顶”等标签。点击卡片进入帖子详情。</w:t>
      </w:r>
    </w:p>
    <w:p w14:paraId="09467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80" w:firstLineChars="200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993265" cy="4319905"/>
            <wp:effectExtent l="0" t="0" r="635" b="10795"/>
            <wp:docPr id="11" name="图片 11" descr="E840BE9BE62F4A8EE8B63BAC81C853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E840BE9BE62F4A8EE8B63BAC81C8535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50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 xml:space="preserve">图 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2-8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 xml:space="preserve"> 农友交流页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面</w:t>
      </w:r>
    </w:p>
    <w:p w14:paraId="6D611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发布页包含标题输入框、帖子类型选择与正文多行输入区。用户提交后，帖子状态为 pending（待审核），不会立即出现在公共列表，需管理员在后台审核通过后方可展示。该机制有助于过滤低质量或违规内容。</w:t>
      </w:r>
    </w:p>
    <w:p w14:paraId="3F952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80" w:firstLineChars="200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993265" cy="4319905"/>
            <wp:effectExtent l="0" t="0" r="635" b="10795"/>
            <wp:docPr id="12" name="图片 12" descr="F99948A6A8C8E4C04013E96315CC28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99948A6A8C8E4C04013E96315CC281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F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 xml:space="preserve">图 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2-9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 xml:space="preserve"> 发布帖子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页面</w:t>
      </w:r>
    </w:p>
    <w:p w14:paraId="6464B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详情页对正文进行结构化渲染，支持标题、段落与列表块展示。底部提供收藏按钮与评论列表，用户可在输入框发表文字评论。收藏状态可在“我的收藏”中查看。</w:t>
      </w:r>
    </w:p>
    <w:p w14:paraId="15EE3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官方账号“云农智诊官方”可发布科普类帖子，可在首页科普轮播中展示，形成“官方科普 + 农友讨论”的内容生态。</w:t>
      </w:r>
    </w:p>
    <w:p w14:paraId="4A624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91F9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80" w:firstLineChars="200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993265" cy="4319905"/>
            <wp:effectExtent l="0" t="0" r="635" b="10795"/>
            <wp:docPr id="13" name="图片 13" descr="FDAF7C69D87A1ADF8AAB4DC87317AA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FDAF7C69D87A1ADF8AAB4DC87317AAE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0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 xml:space="preserve">图 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2-10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 xml:space="preserve"> 帖子详情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页面上（a）</w:t>
      </w:r>
    </w:p>
    <w:p w14:paraId="508C3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80" w:firstLineChars="200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64E7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80" w:firstLineChars="200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993265" cy="4319905"/>
            <wp:effectExtent l="0" t="0" r="635" b="10795"/>
            <wp:docPr id="15" name="图片 15" descr="593BAFAE36CD65ABDA1C0A1EE6A4A1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593BAFAE36CD65ABDA1C0A1EE6A4A15B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E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 xml:space="preserve">图 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2-11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 xml:space="preserve"> 帖子详情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页面（b）</w:t>
      </w:r>
    </w:p>
    <w:p w14:paraId="750636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29" w:name="_Toc11344"/>
      <w:bookmarkStart w:id="30" w:name="_Toc25851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2.7 个人中心模块设计</w:t>
      </w:r>
      <w:bookmarkEnd w:id="29"/>
      <w:bookmarkEnd w:id="30"/>
    </w:p>
    <w:p w14:paraId="40960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个人中心页顶部为用户信息卡片，展示头像、昵称与手机号。下方菜单列表包括：我的诊断历史、我的收藏、意见反馈、关于我们，每项以图标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文字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与</w:t>
      </w: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右箭头形式呈现，点击跳转对应子页。</w:t>
      </w:r>
    </w:p>
    <w:p w14:paraId="27D18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80" w:firstLineChars="200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993265" cy="4319905"/>
            <wp:effectExtent l="0" t="0" r="635" b="10795"/>
            <wp:docPr id="16" name="图片 16" descr="CAF15B0B01EAF76B40FFAAF4A224F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AF15B0B01EAF76B40FFAAF4A224F46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1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 xml:space="preserve">图 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 xml:space="preserve">2-12 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>个人中心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页面</w:t>
      </w:r>
    </w:p>
    <w:p w14:paraId="11AD9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诊断历史页以列表展示当前用户最近 50 条识别记录，每条包含作物、病害名称、识别时间、危害等级与用户图片缩略图，便于回顾与对比。</w:t>
      </w:r>
    </w:p>
    <w:p w14:paraId="51EBE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80" w:firstLineChars="200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993265" cy="4319905"/>
            <wp:effectExtent l="0" t="0" r="635" b="10795"/>
            <wp:docPr id="21" name="图片 21" descr="F8C9802CBC202E5BD1C7C5BCE31B989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F8C9802CBC202E5BD1C7C5BCE31B9895(1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E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 xml:space="preserve">图 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2-13 我的诊断历史页面</w:t>
      </w:r>
    </w:p>
    <w:p w14:paraId="272FC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收藏页展示用户收藏的帖子或病害条目，点击可跳转详情。</w:t>
      </w:r>
    </w:p>
    <w:p w14:paraId="4DFA8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96C2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80" w:firstLineChars="200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993265" cy="4319905"/>
            <wp:effectExtent l="0" t="0" r="635" b="10795"/>
            <wp:docPr id="25" name="图片 25" descr="E0C2398C207D1E3C6D36F74668E02B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E0C2398C207D1E3C6D36F74668E02B4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6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 xml:space="preserve">图 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2-14 我的收藏页面</w:t>
      </w:r>
    </w:p>
    <w:p w14:paraId="4FF3B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意见反馈页提供多行文本输入与可选联系方式，提交后写入 feedbacks 集合，供后续产品改进参考。</w:t>
      </w:r>
    </w:p>
    <w:p w14:paraId="3FEC5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80" w:firstLineChars="200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993265" cy="4319905"/>
            <wp:effectExtent l="0" t="0" r="635" b="10795"/>
            <wp:docPr id="19" name="图片 19" descr="8C3A1918E167C4D50B81A895D45252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8C3A1918E167C4D50B81A895D452528A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C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 xml:space="preserve">图 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2-15 意见反馈页面</w:t>
      </w:r>
    </w:p>
    <w:p w14:paraId="6BD29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关于我们页展示版本号（1.0.0）、项目简介、技术说明（NFNet-F1 + DeepSeek）以及免责声明，明确 AI 识别与建议仅供参考，严重情况需咨询当地农技部门。</w:t>
      </w:r>
    </w:p>
    <w:p w14:paraId="0F913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80" w:firstLineChars="200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993265" cy="4319905"/>
            <wp:effectExtent l="0" t="0" r="635" b="10795"/>
            <wp:docPr id="20" name="图片 20" descr="8465C134B97C67AF9A8B7F6C8BCD07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8465C134B97C67AF9A8B7F6C8BCD071B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7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 xml:space="preserve">图 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2-16 关于我们页面</w:t>
      </w:r>
    </w:p>
    <w:p w14:paraId="1C5C4E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31" w:name="_Toc7471"/>
      <w:bookmarkStart w:id="32" w:name="_Toc22870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2.8 底部导航与全局交互设计</w:t>
      </w:r>
      <w:bookmarkEnd w:id="31"/>
      <w:bookmarkEnd w:id="32"/>
    </w:p>
    <w:p w14:paraId="148EE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底部导航采用自定义 TabBar 组件，五个 Tab 分别为：首页、诊断、识别（居中放大）、社区、 我的。识别 Tab 视觉权重最高，体现“拍照识病”为核心使用场景。选中态文字与图标区域以主题绿色 #28B446 高亮，未选中为灰色。</w:t>
      </w:r>
    </w:p>
    <w:p w14:paraId="5BC8A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全局启动时，App.onLaunch 完成云能力初始化、数据库种子数据检查与用户自动登录。网络请求统一封装于 utils/request.js，对识别、诊断、聊天等耗时接口设置 60 秒超时，并给出友好错误提示。</w:t>
      </w:r>
    </w:p>
    <w:p w14:paraId="1823E3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33" w:name="_Toc14704"/>
      <w:bookmarkStart w:id="34" w:name="_Toc12622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2.9 后端云函数与 AI 问诊服务设计</w:t>
      </w:r>
      <w:bookmarkEnd w:id="33"/>
      <w:bookmarkEnd w:id="34"/>
    </w:p>
    <w:p w14:paraId="3B932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云函数 api 采用 action 路由模式，根据入参 action 字段分发至不同业务处理函数，便于扩展与维护。小程序端通过 callFunction 统一调用，主要 action 包括登录、首页数据、识别、诊断、聊天、社区、资讯、收藏等。识别模块支持云托管 NFNet 真实推理。业务数据读写云数据库、用户图片上传云存储，识别与问诊等耗时操作在云函数内完成，超时建议配置为 60 秒。</w:t>
      </w:r>
    </w:p>
    <w:p w14:paraId="4FAEA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大语言模型调用 采用 OpenAI 兼容 Chat Completions 接口，由云函数 api 在服务端发起请求，API Key 不暴露给小程序客户端。系统 Prompt 设定为“云农智诊农业助手”，要求语言简洁专业并声明建议仅供参考。自动诊断 Prompt 要求模型以 JSON 格式返回发病原因、传播方式、推荐措施、药剂建议、预防措施五个字段，便于前端结构化展示；自由问答则维护 chat_sessions 与 chat_messages 会话历史，将多轮上下文一并提交大模型。</w:t>
      </w:r>
    </w:p>
    <w:p w14:paraId="12A70B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outlineLvl w:val="1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35" w:name="_Toc24836"/>
      <w:bookmarkStart w:id="36" w:name="_Toc6142"/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2.10 云托管 ai-service 模块设计</w:t>
      </w:r>
      <w:bookmarkEnd w:id="35"/>
      <w:bookmarkEnd w:id="36"/>
    </w:p>
    <w:p w14:paraId="689FC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云托管 ai-service 是本系统独立的 AI 推理微服务，与云函数 api职责分离：云函数负责业务编排、鉴权与写库，云托管仅负责 NFNet-F1 模型加载与图像推理，避免大模型占用云函数内存与执行时长限制。</w:t>
      </w:r>
    </w:p>
    <w:p w14:paraId="379CF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部署形态：基于 FastAPI 框架编写，使用 Docker 容器打包部署至微信云托管，服务名 ai-service。容器规格建议 2 核 4GB；最小副本数设为 1 时可显著减少冷启动导致的识别超时。模型权重通过容器构建或启动脚本下载至 /app/model 目录，启动后异步加载 NFNet-F1，加载完成前 /health 可返回加载状态。</w:t>
      </w:r>
    </w:p>
    <w:p w14:paraId="7D068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对外接口：提供 /health 健康检查与 /predict 识别两类接口。/predict 接收 JSON 请求体，主要字段为 image_url（云存储图片临时 HTTPS 地址）与可选 crop（用户所选作物英文 key）。服务下载图片后预处理为 512×512 RGB 张量，经 NFNet-F1 前向推理得到 88 维 logits，softmax 后取最大概率类别；若携带 crop 参数，则仅在对应作物的子类别集合中竞争，提高识别准确率。返回 disease_key、confidence 等字段，由 api 云函数映射为中文病害名、危害等级并写入识别记录。</w:t>
      </w:r>
    </w:p>
    <w:p w14:paraId="0A250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 xml:space="preserve">调用链路：小程序端将图片上传至云存储，由 api 云函数获取文件 fileID 对应的临时访问 URL，通过 HTTP 协议调用云托管公网 /predict 接口，解析接口推理结果后回传至小程序端。该调用链路规避了小程序 callContainer 接口 </w:t>
      </w:r>
    </w:p>
    <w:p w14:paraId="408F0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15 秒的固有超时限制，是保障病虫害识别功能稳定运行的核心设计。</w:t>
      </w:r>
    </w:p>
    <w:p w14:paraId="08ACF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80645</wp:posOffset>
            </wp:positionH>
            <wp:positionV relativeFrom="paragraph">
              <wp:posOffset>187960</wp:posOffset>
            </wp:positionV>
            <wp:extent cx="5215890" cy="2737485"/>
            <wp:effectExtent l="0" t="0" r="3810" b="5715"/>
            <wp:wrapTopAndBottom/>
            <wp:docPr id="4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89D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图2-17 云托管 ai-service部署</w:t>
      </w:r>
    </w:p>
    <w:p w14:paraId="4E623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</w:pPr>
    </w:p>
    <w:p w14:paraId="11813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</w:pPr>
    </w:p>
    <w:p w14:paraId="669CE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</w:pPr>
    </w:p>
    <w:p w14:paraId="4C191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</w:pPr>
    </w:p>
    <w:p w14:paraId="4455F1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37" w:name="_Toc23153"/>
      <w:bookmarkStart w:id="38" w:name="_Toc12052"/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2.11 管理后台模块设计</w:t>
      </w:r>
      <w:bookmarkEnd w:id="37"/>
      <w:bookmarkEnd w:id="38"/>
    </w:p>
    <w:p w14:paraId="1BB25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管理后台面向运营人员，与小程序共用同一微信云开发环境，形成“用户端 + 运营端”双端架构。前端采用 Vue3 + Element Plus 单页应用开发，通过 CloudBase HTTP Gateway 调用 admin 云函数，读写与小程序相同的云数据库集合，保证内容审核与数据维护实时生效。</w:t>
      </w:r>
    </w:p>
    <w:p w14:paraId="16D38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整体布局：登录页校验管理员身份后进入主框架，左侧为功能导航，右侧为内容区。路由按模块划分，页面标题统一为“云农智诊 - xxx”，与小程序品牌一致。</w:t>
      </w:r>
    </w:p>
    <w:p w14:paraId="4A118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firstLine="442" w:firstLineChars="200"/>
        <w:jc w:val="center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</w:p>
    <w:p w14:paraId="77F48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firstLine="442" w:firstLineChars="200"/>
        <w:jc w:val="center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表2-1 管理后台功能模块</w:t>
      </w:r>
    </w:p>
    <w:tbl>
      <w:tblPr>
        <w:tblW w:w="8248" w:type="dxa"/>
        <w:jc w:val="center"/>
        <w:tblBorders>
          <w:top w:val="single" w:color="D9D9D9" w:sz="12" w:space="0"/>
          <w:left w:val="none" w:color="auto" w:sz="0" w:space="0"/>
          <w:bottom w:val="single" w:color="D9D9D9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8"/>
        <w:gridCol w:w="6720"/>
      </w:tblGrid>
      <w:tr w14:paraId="6FE3F10F">
        <w:tblPrEx>
          <w:tblBorders>
            <w:top w:val="single" w:color="D9D9D9" w:sz="12" w:space="0"/>
            <w:left w:val="none" w:color="auto" w:sz="0" w:space="0"/>
            <w:bottom w:val="single" w:color="D9D9D9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6041AB">
            <w:pPr>
              <w:pStyle w:val="9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dr w:val="none" w:color="auto" w:sz="0" w:space="0"/>
              </w:rPr>
              <w:t>模块</w:t>
            </w:r>
          </w:p>
        </w:tc>
        <w:tc>
          <w:tcPr>
            <w:tcW w:w="6720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C1354">
            <w:pPr>
              <w:pStyle w:val="9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dr w:val="none" w:color="auto" w:sz="0" w:space="0"/>
              </w:rPr>
              <w:t>主要功能</w:t>
            </w:r>
          </w:p>
        </w:tc>
      </w:tr>
      <w:tr w14:paraId="2BC9B38C">
        <w:tblPrEx>
          <w:tblBorders>
            <w:top w:val="single" w:color="D9D9D9" w:sz="12" w:space="0"/>
            <w:left w:val="none" w:color="auto" w:sz="0" w:space="0"/>
            <w:bottom w:val="single" w:color="D9D9D9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77666A">
            <w:pPr>
              <w:pStyle w:val="9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</w:pPr>
            <w:r>
              <w:rPr>
                <w:bdr w:val="none" w:color="auto" w:sz="0" w:space="0"/>
              </w:rPr>
              <w:t>数据概览</w:t>
            </w:r>
          </w:p>
        </w:tc>
        <w:tc>
          <w:tcPr>
            <w:tcW w:w="6720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4D9F2">
            <w:pPr>
              <w:pStyle w:val="9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展示用户数、识别次数、帖子数量等统计信息</w:t>
            </w:r>
          </w:p>
        </w:tc>
      </w:tr>
      <w:tr w14:paraId="47FED460">
        <w:tblPrEx>
          <w:tblBorders>
            <w:top w:val="single" w:color="D9D9D9" w:sz="12" w:space="0"/>
            <w:left w:val="none" w:color="auto" w:sz="0" w:space="0"/>
            <w:bottom w:val="single" w:color="D9D9D9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3EDEE">
            <w:pPr>
              <w:pStyle w:val="9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</w:pPr>
            <w:r>
              <w:rPr>
                <w:bdr w:val="none" w:color="auto" w:sz="0" w:space="0"/>
              </w:rPr>
              <w:t>轮播公告</w:t>
            </w:r>
          </w:p>
        </w:tc>
        <w:tc>
          <w:tcPr>
            <w:tcW w:w="6720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A2C68">
            <w:pPr>
              <w:pStyle w:val="9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维护首页 Banner 配置</w:t>
            </w:r>
          </w:p>
        </w:tc>
      </w:tr>
      <w:tr w14:paraId="5FECE4E7">
        <w:tblPrEx>
          <w:tblBorders>
            <w:top w:val="single" w:color="D9D9D9" w:sz="12" w:space="0"/>
            <w:left w:val="none" w:color="auto" w:sz="0" w:space="0"/>
            <w:bottom w:val="single" w:color="D9D9D9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49007">
            <w:pPr>
              <w:pStyle w:val="9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</w:pPr>
            <w:r>
              <w:rPr>
                <w:bdr w:val="none" w:color="auto" w:sz="0" w:space="0"/>
              </w:rPr>
              <w:t>农业资讯</w:t>
            </w:r>
          </w:p>
        </w:tc>
        <w:tc>
          <w:tcPr>
            <w:tcW w:w="6720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17AC5C">
            <w:pPr>
              <w:pStyle w:val="9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资讯草稿编辑、发布与下架</w:t>
            </w:r>
          </w:p>
        </w:tc>
      </w:tr>
      <w:tr w14:paraId="6A8803A9">
        <w:tblPrEx>
          <w:tblBorders>
            <w:top w:val="single" w:color="D9D9D9" w:sz="12" w:space="0"/>
            <w:left w:val="none" w:color="auto" w:sz="0" w:space="0"/>
            <w:bottom w:val="single" w:color="D9D9D9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D01F1">
            <w:pPr>
              <w:pStyle w:val="9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</w:pPr>
            <w:r>
              <w:rPr>
                <w:bdr w:val="none" w:color="auto" w:sz="0" w:space="0"/>
              </w:rPr>
              <w:t>官方病害库</w:t>
            </w:r>
          </w:p>
        </w:tc>
        <w:tc>
          <w:tcPr>
            <w:tcW w:w="6720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6B7F7C">
            <w:pPr>
              <w:pStyle w:val="9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病害条目、症状与防治说明维护</w:t>
            </w:r>
          </w:p>
        </w:tc>
      </w:tr>
      <w:tr w14:paraId="70675471">
        <w:tblPrEx>
          <w:tblBorders>
            <w:top w:val="single" w:color="D9D9D9" w:sz="12" w:space="0"/>
            <w:left w:val="none" w:color="auto" w:sz="0" w:space="0"/>
            <w:bottom w:val="single" w:color="D9D9D9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17FD5">
            <w:pPr>
              <w:pStyle w:val="9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</w:pPr>
            <w:r>
              <w:rPr>
                <w:bdr w:val="none" w:color="auto" w:sz="0" w:space="0"/>
              </w:rPr>
              <w:t>社区审核</w:t>
            </w:r>
          </w:p>
        </w:tc>
        <w:tc>
          <w:tcPr>
            <w:tcW w:w="6720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B416A">
            <w:pPr>
              <w:pStyle w:val="9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用户发帖审核（通过/拒绝），控制小程序社区展示</w:t>
            </w:r>
          </w:p>
        </w:tc>
      </w:tr>
      <w:tr w14:paraId="2E0C0076">
        <w:tblPrEx>
          <w:tblBorders>
            <w:top w:val="single" w:color="D9D9D9" w:sz="12" w:space="0"/>
            <w:left w:val="none" w:color="auto" w:sz="0" w:space="0"/>
            <w:bottom w:val="single" w:color="D9D9D9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8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1D3F95">
            <w:pPr>
              <w:pStyle w:val="9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</w:pPr>
            <w:r>
              <w:rPr>
                <w:bdr w:val="none" w:color="auto" w:sz="0" w:space="0"/>
              </w:rPr>
              <w:t>用户管理</w:t>
            </w:r>
          </w:p>
        </w:tc>
        <w:tc>
          <w:tcPr>
            <w:tcW w:w="6720" w:type="dxa"/>
            <w:tcBorders>
              <w:tl2br w:val="nil"/>
              <w:tr2bl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9355D">
            <w:pPr>
              <w:pStyle w:val="9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查看小程序用户列表与基本信息</w:t>
            </w:r>
          </w:p>
        </w:tc>
      </w:tr>
    </w:tbl>
    <w:p w14:paraId="008E5B7F">
      <w:pPr>
        <w:pStyle w:val="9"/>
        <w:keepNext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before="0" w:beforeAutospacing="0" w:after="0" w:afterAutospacing="0"/>
        <w:ind w:left="0" w:leftChars="0" w:right="0" w:rightChars="0" w:firstLine="0" w:firstLineChars="0"/>
        <w:jc w:val="both"/>
        <w:rPr>
          <w:sz w:val="24"/>
          <w:szCs w:val="24"/>
        </w:rPr>
      </w:pPr>
    </w:p>
    <w:p w14:paraId="167D8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安全与协作：管理端通过 HTTP 请求携带 API Key 访问 admin 云函数，与小程序 openid 用户体系分离。社区帖子经后台审核通过后，小程序 listPosts 才返回 approved 状态内容；资讯、Banner、病害库的变更亦由后台维护，小程序只读展示，实现内容与业务的解耦管理。</w:t>
      </w:r>
    </w:p>
    <w:p w14:paraId="0A8CE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20" w:firstLineChars="200"/>
        <w:textAlignment w:val="auto"/>
      </w:pPr>
      <w:r>
        <w:drawing>
          <wp:inline distT="0" distB="0" distL="114300" distR="114300">
            <wp:extent cx="5150485" cy="2720975"/>
            <wp:effectExtent l="0" t="0" r="0" b="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rcRect l="292" t="640" r="889" b="1349"/>
                    <a:stretch>
                      <a:fillRect/>
                    </a:stretch>
                  </pic:blipFill>
                  <pic:spPr>
                    <a:xfrm>
                      <a:off x="0" y="0"/>
                      <a:ext cx="5150485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9B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 xml:space="preserve">图2-18 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>管理后台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登录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>界面</w:t>
      </w:r>
    </w:p>
    <w:p w14:paraId="0A29D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20" w:firstLineChars="200"/>
        <w:textAlignment w:val="auto"/>
      </w:pPr>
      <w:r>
        <w:drawing>
          <wp:inline distT="0" distB="0" distL="114300" distR="114300">
            <wp:extent cx="5273040" cy="2758440"/>
            <wp:effectExtent l="0" t="0" r="0" b="0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rcRect t="595" r="-129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ED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 xml:space="preserve">图2-19 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>管理后台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数据概览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>界面</w:t>
      </w:r>
    </w:p>
    <w:p w14:paraId="12CA1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20" w:firstLineChars="200"/>
        <w:textAlignment w:val="auto"/>
      </w:pPr>
      <w:r>
        <w:drawing>
          <wp:inline distT="0" distB="0" distL="114300" distR="114300">
            <wp:extent cx="5219065" cy="2736850"/>
            <wp:effectExtent l="0" t="0" r="635" b="6350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9065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00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 xml:space="preserve">图2-20 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>管理后台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轮播公告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>界面</w:t>
      </w:r>
    </w:p>
    <w:p w14:paraId="2C5C8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20" w:firstLineChars="200"/>
        <w:textAlignment w:val="auto"/>
      </w:pPr>
    </w:p>
    <w:p w14:paraId="74105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20" w:firstLineChars="200"/>
        <w:textAlignment w:val="auto"/>
      </w:pPr>
      <w:r>
        <w:drawing>
          <wp:inline distT="0" distB="0" distL="114300" distR="114300">
            <wp:extent cx="5213985" cy="2753995"/>
            <wp:effectExtent l="0" t="0" r="5715" b="1905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398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42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 xml:space="preserve">图2-21 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>管理后台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农业资讯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>界面</w:t>
      </w:r>
    </w:p>
    <w:p w14:paraId="24DD3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20" w:firstLineChars="200"/>
        <w:textAlignment w:val="auto"/>
      </w:pPr>
      <w:r>
        <w:drawing>
          <wp:inline distT="0" distB="0" distL="114300" distR="114300">
            <wp:extent cx="5207635" cy="2756535"/>
            <wp:effectExtent l="0" t="0" r="12065" b="12065"/>
            <wp:docPr id="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0763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1C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 xml:space="preserve">图2-22 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>管理后台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官方病害库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>界面</w:t>
      </w:r>
    </w:p>
    <w:p w14:paraId="0809F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20" w:firstLineChars="200"/>
        <w:textAlignment w:val="auto"/>
      </w:pPr>
    </w:p>
    <w:p w14:paraId="4504C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20" w:firstLineChars="200"/>
        <w:textAlignment w:val="auto"/>
      </w:pPr>
      <w:r>
        <w:drawing>
          <wp:inline distT="0" distB="0" distL="114300" distR="114300">
            <wp:extent cx="5209540" cy="2769235"/>
            <wp:effectExtent l="0" t="0" r="10160" b="12065"/>
            <wp:docPr id="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954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0E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 xml:space="preserve">图2-23 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>管理后台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社区审核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>界面</w:t>
      </w:r>
    </w:p>
    <w:p w14:paraId="2043D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20" w:firstLineChars="200"/>
        <w:textAlignment w:val="auto"/>
      </w:pPr>
    </w:p>
    <w:p w14:paraId="5308F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20" w:firstLineChars="200"/>
        <w:textAlignment w:val="auto"/>
      </w:pPr>
      <w:r>
        <w:drawing>
          <wp:inline distT="0" distB="0" distL="114300" distR="114300">
            <wp:extent cx="5273040" cy="2741930"/>
            <wp:effectExtent l="0" t="0" r="0" b="0"/>
            <wp:docPr id="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"/>
                    <pic:cNvPicPr>
                      <a:picLocks noChangeAspect="1"/>
                    </pic:cNvPicPr>
                  </pic:nvPicPr>
                  <pic:blipFill>
                    <a:blip r:embed="rId31"/>
                    <a:srcRect t="667" r="-125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DC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ind w:firstLine="442" w:firstLineChars="200"/>
        <w:jc w:val="center"/>
        <w:textAlignment w:val="auto"/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 xml:space="preserve">图2-24 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>管理后台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用户管理</w:t>
      </w:r>
      <w: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  <w:t>界面</w:t>
      </w:r>
    </w:p>
    <w:p w14:paraId="5E516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20" w:firstLineChars="200"/>
        <w:textAlignment w:val="auto"/>
      </w:pPr>
    </w:p>
    <w:p w14:paraId="340F4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tLeast"/>
        <w:ind w:firstLine="420" w:firstLineChars="200"/>
        <w:textAlignment w:val="auto"/>
        <w:rPr>
          <w:rFonts w:hint="default"/>
          <w:lang w:val="en-US" w:eastAsia="zh-CN"/>
        </w:rPr>
      </w:pPr>
    </w:p>
    <w:p w14:paraId="0637B4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39" w:name="_Toc11804"/>
      <w:bookmarkStart w:id="40" w:name="_Toc914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2.12 数据库概念设计</w:t>
      </w:r>
      <w:bookmarkEnd w:id="39"/>
      <w:bookmarkEnd w:id="40"/>
    </w:p>
    <w:p w14:paraId="130CD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系统云数据库主要集合及其用途如下表所示。各集合通过 openid、detectId、sessionId 等字段关联，保证业务数据可追溯。</w:t>
      </w:r>
    </w:p>
    <w:p w14:paraId="60E06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firstLine="442" w:firstLineChars="200"/>
        <w:jc w:val="center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表2-2 云数据库主要集合及其用途</w:t>
      </w:r>
    </w:p>
    <w:tbl>
      <w:tblPr>
        <w:tblW w:w="8539" w:type="dxa"/>
        <w:jc w:val="center"/>
        <w:tblBorders>
          <w:top w:val="none" w:color="D9D9D9" w:sz="4" w:space="0"/>
          <w:left w:val="none" w:color="D9D9D9" w:sz="4" w:space="0"/>
          <w:bottom w:val="none" w:color="D9D9D9" w:sz="4" w:space="0"/>
          <w:right w:val="none" w:color="D9D9D9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96"/>
        <w:gridCol w:w="5443"/>
      </w:tblGrid>
      <w:tr w14:paraId="659123E6">
        <w:tblPrEx>
          <w:tblBorders>
            <w:top w:val="none" w:color="D9D9D9" w:sz="4" w:space="0"/>
            <w:left w:val="none" w:color="D9D9D9" w:sz="4" w:space="0"/>
            <w:bottom w:val="none" w:color="D9D9D9" w:sz="4" w:space="0"/>
            <w:right w:val="non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1" w:hRule="atLeast"/>
          <w:tblHeader/>
          <w:jc w:val="center"/>
        </w:trPr>
        <w:tc>
          <w:tcPr>
            <w:tcW w:w="0" w:type="auto"/>
            <w:tcBorders>
              <w:top w:val="single" w:color="D9D9D9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283" w:type="dxa"/>
              <w:bottom w:w="-1" w:type="dxa"/>
              <w:right w:w="283" w:type="dxa"/>
            </w:tcMar>
            <w:vAlign w:val="center"/>
          </w:tcPr>
          <w:p w14:paraId="44E20FB9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dr w:val="none" w:color="auto" w:sz="0" w:space="0"/>
              </w:rPr>
              <w:t>集合名称</w:t>
            </w:r>
          </w:p>
        </w:tc>
        <w:tc>
          <w:tcPr>
            <w:tcW w:w="5443" w:type="dxa"/>
            <w:tcBorders>
              <w:top w:val="single" w:color="D9D9D9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283" w:type="dxa"/>
              <w:bottom w:w="-1" w:type="dxa"/>
              <w:right w:w="283" w:type="dxa"/>
            </w:tcMar>
            <w:vAlign w:val="center"/>
          </w:tcPr>
          <w:p w14:paraId="7EA60C0B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dr w:val="none" w:color="auto" w:sz="0" w:space="0"/>
              </w:rPr>
              <w:t>主要用途</w:t>
            </w:r>
          </w:p>
        </w:tc>
      </w:tr>
      <w:tr w14:paraId="708EFAD5">
        <w:tblPrEx>
          <w:tblBorders>
            <w:top w:val="none" w:color="D9D9D9" w:sz="4" w:space="0"/>
            <w:left w:val="none" w:color="D9D9D9" w:sz="4" w:space="0"/>
            <w:bottom w:val="none" w:color="D9D9D9" w:sz="4" w:space="0"/>
            <w:right w:val="non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0" w:hRule="atLeast"/>
          <w:jc w:val="center"/>
        </w:trPr>
        <w:tc>
          <w:tcPr>
            <w:tcW w:w="0" w:type="auto"/>
            <w:tcBorders>
              <w:top w:val="single" w:color="D9D9D9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283" w:type="dxa"/>
              <w:bottom w:w="-1" w:type="dxa"/>
              <w:right w:w="283" w:type="dxa"/>
            </w:tcMar>
            <w:vAlign w:val="center"/>
          </w:tcPr>
          <w:p w14:paraId="62B0480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users</w:t>
            </w:r>
          </w:p>
        </w:tc>
        <w:tc>
          <w:tcPr>
            <w:tcW w:w="5443" w:type="dxa"/>
            <w:tcBorders>
              <w:top w:val="single" w:color="D9D9D9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283" w:type="dxa"/>
              <w:bottom w:w="-1" w:type="dxa"/>
              <w:right w:w="283" w:type="dxa"/>
            </w:tcMar>
            <w:vAlign w:val="center"/>
          </w:tcPr>
          <w:p w14:paraId="028AD33B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用户 openid、昵称、头像、手机号等</w:t>
            </w:r>
          </w:p>
        </w:tc>
      </w:tr>
      <w:tr w14:paraId="7CB5866A">
        <w:tblPrEx>
          <w:tblBorders>
            <w:top w:val="none" w:color="D9D9D9" w:sz="4" w:space="0"/>
            <w:left w:val="none" w:color="D9D9D9" w:sz="4" w:space="0"/>
            <w:bottom w:val="none" w:color="D9D9D9" w:sz="4" w:space="0"/>
            <w:right w:val="non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283" w:type="dxa"/>
              <w:bottom w:w="-1" w:type="dxa"/>
              <w:right w:w="283" w:type="dxa"/>
            </w:tcMar>
            <w:vAlign w:val="center"/>
          </w:tcPr>
          <w:p w14:paraId="3BA2DC6D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detect_records</w:t>
            </w:r>
          </w:p>
        </w:tc>
        <w:tc>
          <w:tcPr>
            <w:tcW w:w="5443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283" w:type="dxa"/>
              <w:bottom w:w="-1" w:type="dxa"/>
              <w:right w:w="283" w:type="dxa"/>
            </w:tcMar>
            <w:vAlign w:val="center"/>
          </w:tcPr>
          <w:p w14:paraId="00EFE7BC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识别记录：作物、病害、置信度、等级、图片 fileID</w:t>
            </w:r>
          </w:p>
        </w:tc>
      </w:tr>
      <w:tr w14:paraId="54E3D65F">
        <w:tblPrEx>
          <w:tblBorders>
            <w:top w:val="none" w:color="D9D9D9" w:sz="4" w:space="0"/>
            <w:left w:val="none" w:color="D9D9D9" w:sz="4" w:space="0"/>
            <w:bottom w:val="none" w:color="D9D9D9" w:sz="4" w:space="0"/>
            <w:right w:val="non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283" w:type="dxa"/>
              <w:bottom w:w="-1" w:type="dxa"/>
              <w:right w:w="283" w:type="dxa"/>
            </w:tcMar>
            <w:vAlign w:val="center"/>
          </w:tcPr>
          <w:p w14:paraId="5BAC3845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diagnose_records</w:t>
            </w:r>
          </w:p>
        </w:tc>
        <w:tc>
          <w:tcPr>
            <w:tcW w:w="5443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283" w:type="dxa"/>
              <w:bottom w:w="-1" w:type="dxa"/>
              <w:right w:w="283" w:type="dxa"/>
            </w:tcMar>
            <w:vAlign w:val="center"/>
          </w:tcPr>
          <w:p w14:paraId="22C76935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诊断记录：关联 detectId、结构化诊断结果</w:t>
            </w:r>
          </w:p>
        </w:tc>
      </w:tr>
      <w:tr w14:paraId="3DD377E7">
        <w:tblPrEx>
          <w:tblBorders>
            <w:top w:val="none" w:color="D9D9D9" w:sz="4" w:space="0"/>
            <w:left w:val="none" w:color="D9D9D9" w:sz="4" w:space="0"/>
            <w:bottom w:val="none" w:color="D9D9D9" w:sz="4" w:space="0"/>
            <w:right w:val="non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9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283" w:type="dxa"/>
              <w:bottom w:w="-1" w:type="dxa"/>
              <w:right w:w="283" w:type="dxa"/>
            </w:tcMar>
            <w:vAlign w:val="center"/>
          </w:tcPr>
          <w:p w14:paraId="40852187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chat_sessions / chat_messages</w:t>
            </w:r>
          </w:p>
        </w:tc>
        <w:tc>
          <w:tcPr>
            <w:tcW w:w="5443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283" w:type="dxa"/>
              <w:bottom w:w="-1" w:type="dxa"/>
              <w:right w:w="283" w:type="dxa"/>
            </w:tcMar>
            <w:vAlign w:val="center"/>
          </w:tcPr>
          <w:p w14:paraId="48437455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多轮对话会话与消息历史</w:t>
            </w:r>
          </w:p>
        </w:tc>
      </w:tr>
      <w:tr w14:paraId="3221E7C9">
        <w:tblPrEx>
          <w:tblBorders>
            <w:top w:val="none" w:color="D9D9D9" w:sz="4" w:space="0"/>
            <w:left w:val="none" w:color="D9D9D9" w:sz="4" w:space="0"/>
            <w:bottom w:val="none" w:color="D9D9D9" w:sz="4" w:space="0"/>
            <w:right w:val="non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283" w:type="dxa"/>
              <w:bottom w:w="-1" w:type="dxa"/>
              <w:right w:w="283" w:type="dxa"/>
            </w:tcMar>
            <w:vAlign w:val="center"/>
          </w:tcPr>
          <w:p w14:paraId="3911445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posts / comments</w:t>
            </w:r>
          </w:p>
        </w:tc>
        <w:tc>
          <w:tcPr>
            <w:tcW w:w="5443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283" w:type="dxa"/>
              <w:bottom w:w="-1" w:type="dxa"/>
              <w:right w:w="283" w:type="dxa"/>
            </w:tcMar>
            <w:vAlign w:val="center"/>
          </w:tcPr>
          <w:p w14:paraId="7DD21984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社区帖子与评论，帖子含审核状态</w:t>
            </w:r>
          </w:p>
        </w:tc>
      </w:tr>
      <w:tr w14:paraId="74A8F759">
        <w:tblPrEx>
          <w:tblBorders>
            <w:top w:val="none" w:color="D9D9D9" w:sz="4" w:space="0"/>
            <w:left w:val="none" w:color="D9D9D9" w:sz="4" w:space="0"/>
            <w:bottom w:val="none" w:color="D9D9D9" w:sz="4" w:space="0"/>
            <w:right w:val="non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283" w:type="dxa"/>
              <w:bottom w:w="-1" w:type="dxa"/>
              <w:right w:w="283" w:type="dxa"/>
            </w:tcMar>
            <w:vAlign w:val="center"/>
          </w:tcPr>
          <w:p w14:paraId="68E39A2C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diseases</w:t>
            </w:r>
          </w:p>
        </w:tc>
        <w:tc>
          <w:tcPr>
            <w:tcW w:w="5443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283" w:type="dxa"/>
              <w:bottom w:w="-1" w:type="dxa"/>
              <w:right w:w="283" w:type="dxa"/>
            </w:tcMar>
            <w:vAlign w:val="center"/>
          </w:tcPr>
          <w:p w14:paraId="4E51150C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官方病害库与标准图 URL</w:t>
            </w:r>
          </w:p>
        </w:tc>
      </w:tr>
      <w:tr w14:paraId="2F423C99">
        <w:tblPrEx>
          <w:tblBorders>
            <w:top w:val="none" w:color="D9D9D9" w:sz="4" w:space="0"/>
            <w:left w:val="none" w:color="D9D9D9" w:sz="4" w:space="0"/>
            <w:bottom w:val="none" w:color="D9D9D9" w:sz="4" w:space="0"/>
            <w:right w:val="non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2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283" w:type="dxa"/>
              <w:bottom w:w="-1" w:type="dxa"/>
              <w:right w:w="283" w:type="dxa"/>
            </w:tcMar>
            <w:vAlign w:val="center"/>
          </w:tcPr>
          <w:p w14:paraId="39639580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news</w:t>
            </w:r>
          </w:p>
        </w:tc>
        <w:tc>
          <w:tcPr>
            <w:tcW w:w="5443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283" w:type="dxa"/>
              <w:bottom w:w="-1" w:type="dxa"/>
              <w:right w:w="283" w:type="dxa"/>
            </w:tcMar>
            <w:vAlign w:val="center"/>
          </w:tcPr>
          <w:p w14:paraId="05C462B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农业资讯，含发布状态</w:t>
            </w:r>
          </w:p>
        </w:tc>
      </w:tr>
      <w:tr w14:paraId="57018402">
        <w:tblPrEx>
          <w:tblBorders>
            <w:top w:val="none" w:color="D9D9D9" w:sz="4" w:space="0"/>
            <w:left w:val="none" w:color="D9D9D9" w:sz="4" w:space="0"/>
            <w:bottom w:val="none" w:color="D9D9D9" w:sz="4" w:space="0"/>
            <w:right w:val="non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283" w:type="dxa"/>
              <w:bottom w:w="-1" w:type="dxa"/>
              <w:right w:w="283" w:type="dxa"/>
            </w:tcMar>
            <w:vAlign w:val="center"/>
          </w:tcPr>
          <w:p w14:paraId="38283C33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favorites</w:t>
            </w:r>
          </w:p>
        </w:tc>
        <w:tc>
          <w:tcPr>
            <w:tcW w:w="5443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283" w:type="dxa"/>
              <w:bottom w:w="-1" w:type="dxa"/>
              <w:right w:w="283" w:type="dxa"/>
            </w:tcMar>
            <w:vAlign w:val="center"/>
          </w:tcPr>
          <w:p w14:paraId="55238B54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用户收藏（帖子/病害）</w:t>
            </w:r>
          </w:p>
        </w:tc>
      </w:tr>
      <w:tr w14:paraId="4233844C">
        <w:tblPrEx>
          <w:tblBorders>
            <w:top w:val="none" w:color="D9D9D9" w:sz="4" w:space="0"/>
            <w:left w:val="none" w:color="D9D9D9" w:sz="4" w:space="0"/>
            <w:bottom w:val="none" w:color="D9D9D9" w:sz="4" w:space="0"/>
            <w:right w:val="non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283" w:type="dxa"/>
              <w:bottom w:w="-1" w:type="dxa"/>
              <w:right w:w="283" w:type="dxa"/>
            </w:tcMar>
            <w:vAlign w:val="center"/>
          </w:tcPr>
          <w:p w14:paraId="7D24EE15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feedbacks</w:t>
            </w:r>
          </w:p>
        </w:tc>
        <w:tc>
          <w:tcPr>
            <w:tcW w:w="5443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283" w:type="dxa"/>
              <w:bottom w:w="-1" w:type="dxa"/>
              <w:right w:w="283" w:type="dxa"/>
            </w:tcMar>
            <w:vAlign w:val="center"/>
          </w:tcPr>
          <w:p w14:paraId="257AD898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意见反馈</w:t>
            </w:r>
          </w:p>
        </w:tc>
      </w:tr>
      <w:tr w14:paraId="71C1CB30">
        <w:tblPrEx>
          <w:tblBorders>
            <w:top w:val="none" w:color="D9D9D9" w:sz="4" w:space="0"/>
            <w:left w:val="none" w:color="D9D9D9" w:sz="4" w:space="0"/>
            <w:bottom w:val="none" w:color="D9D9D9" w:sz="4" w:space="0"/>
            <w:right w:val="none" w:color="D9D9D9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1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283" w:type="dxa"/>
              <w:bottom w:w="-1" w:type="dxa"/>
              <w:right w:w="283" w:type="dxa"/>
            </w:tcMar>
            <w:vAlign w:val="center"/>
          </w:tcPr>
          <w:p w14:paraId="76B889E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banners</w:t>
            </w:r>
          </w:p>
        </w:tc>
        <w:tc>
          <w:tcPr>
            <w:tcW w:w="5443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283" w:type="dxa"/>
              <w:bottom w:w="-1" w:type="dxa"/>
              <w:right w:w="283" w:type="dxa"/>
            </w:tcMar>
            <w:vAlign w:val="center"/>
          </w:tcPr>
          <w:p w14:paraId="4B106894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首页轮播配置</w:t>
            </w:r>
          </w:p>
        </w:tc>
      </w:tr>
      <w:tr w14:paraId="43E87305">
        <w:tblPrEx>
          <w:tblBorders>
            <w:top w:val="none" w:color="D9D9D9" w:sz="4" w:space="0"/>
            <w:left w:val="none" w:color="D9D9D9" w:sz="4" w:space="0"/>
            <w:bottom w:val="none" w:color="D9D9D9" w:sz="4" w:space="0"/>
            <w:right w:val="none" w:color="D9D9D9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1" w:hRule="atLeast"/>
          <w:jc w:val="center"/>
        </w:trPr>
        <w:tc>
          <w:tcPr>
            <w:tcW w:w="3096" w:type="dxa"/>
            <w:tcBorders>
              <w:top w:val="nil"/>
              <w:left w:val="nil"/>
              <w:bottom w:val="single" w:color="D9D9D9" w:sz="12" w:space="0"/>
              <w:right w:val="nil"/>
            </w:tcBorders>
            <w:shd w:val="clear"/>
            <w:noWrap w:val="0"/>
            <w:tcMar>
              <w:top w:w="-1" w:type="dxa"/>
              <w:left w:w="283" w:type="dxa"/>
              <w:bottom w:w="-1" w:type="dxa"/>
              <w:right w:w="283" w:type="dxa"/>
            </w:tcMar>
            <w:vAlign w:val="center"/>
          </w:tcPr>
          <w:p w14:paraId="02DB78B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admins</w:t>
            </w:r>
          </w:p>
        </w:tc>
        <w:tc>
          <w:tcPr>
            <w:tcW w:w="5443" w:type="dxa"/>
            <w:tcBorders>
              <w:top w:val="nil"/>
              <w:left w:val="nil"/>
              <w:bottom w:val="single" w:color="D9D9D9" w:sz="12" w:space="0"/>
              <w:right w:val="nil"/>
            </w:tcBorders>
            <w:shd w:val="clear"/>
            <w:noWrap w:val="0"/>
            <w:tcMar>
              <w:top w:w="-1" w:type="dxa"/>
              <w:left w:w="283" w:type="dxa"/>
              <w:bottom w:w="-1" w:type="dxa"/>
              <w:right w:w="283" w:type="dxa"/>
            </w:tcMar>
            <w:vAlign w:val="center"/>
          </w:tcPr>
          <w:p w14:paraId="1A7A6DF9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</w:pPr>
            <w:r>
              <w:rPr>
                <w:bdr w:val="none" w:color="auto" w:sz="0" w:space="0"/>
              </w:rPr>
              <w:t>管理后台账号</w:t>
            </w:r>
          </w:p>
        </w:tc>
      </w:tr>
    </w:tbl>
    <w:p w14:paraId="00848FB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 w14:paraId="49CBFFD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 w14:paraId="553B45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400" w:line="400" w:lineRule="exact"/>
        <w:jc w:val="center"/>
        <w:textAlignment w:val="auto"/>
        <w:outlineLvl w:val="0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bookmarkStart w:id="41" w:name="_Toc496"/>
      <w:bookmarkStart w:id="42" w:name="_Toc1862"/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第3章 开发总结</w:t>
      </w:r>
      <w:bookmarkEnd w:id="41"/>
      <w:bookmarkEnd w:id="42"/>
    </w:p>
    <w:p w14:paraId="750F85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43" w:name="_Toc11752"/>
      <w:bookmarkStart w:id="44" w:name="_Toc19793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3.1 开发过程回顾</w:t>
      </w:r>
      <w:bookmarkEnd w:id="43"/>
      <w:bookmarkEnd w:id="44"/>
    </w:p>
    <w:p w14:paraId="1B2CD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本次课程设计从需求分析、原型构思到编码实现、联调测试，历时约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一</w:t>
      </w: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周。初期首先明确了“面向农户、低门槛、AI 赋能”的产品定位，并选定微信小程序作为唯一客户端，以降低推广与使用成本。随后完成页面结构划分与 TabBar 导航设计，优先实现识别与问诊两条核心链路，再逐步补充社区、资讯与个人中心等辅助模块。</w:t>
      </w:r>
    </w:p>
    <w:p w14:paraId="5247C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在开发过程中，后端优先采用微信云开发，避免了自建服务器的域名备案与运维工作。识别功能最初尝试在小程序端通过callContainer 直连云托管，但受约 15 秒超时限制，多次出现识别失败。经查阅文档与反复调试，最终将 NFNet 推理改为由api 云函数获取云存储图片临时 URL 后，通过 HTTP 公网地址调用云托管/predict 接口，并将云函数与客户端超时统一调整为 60 秒，问题得以解决。</w:t>
      </w:r>
    </w:p>
    <w:p w14:paraId="64AC0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云托管ai-service 基于 FastAPI + Docker 部署，模型权重较大，首次冷启动加载 NFNet 耗时较长；通过将容器规格设为 2 核 4GB、最小副本数设为 1 并全量发布新版本，显著改善了识别响应速度与稳定性。识别成功后，结果写入detect_records，并在识别结果页展示置信度、危害等级及标准病害图，诊断历史页通过getTempFileURL 展示用户上传图片缩略图。</w:t>
      </w:r>
    </w:p>
    <w:p w14:paraId="54E70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智能问诊模块曾遇到云函数默认 3 秒超时导致 DeepSeek 大模型调用失败的情况，通过在 config.json 中将 api 超时设为 60 秒并重新部署后恢复正常。大语言模型 API Key 配置在 llm-config.js 中，由云函数服务端调用，避免密钥暴露给客户端。管理后台采用 Vue3 + Element Plus，在 admin-web/.env.local 中配置 CloudBase HTTP Gateway 地址与 API Key，本地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通过</w:t>
      </w: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 xml:space="preserve">浏览器访问，使用 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管理员账号密码</w:t>
      </w: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登录，即可在 PC 端完成资讯维护、帖子审核与用户管理；管理后台与小程序共用同一云数据库，形成“用户端 + 运营端”双端协作。</w:t>
      </w:r>
    </w:p>
    <w:p w14:paraId="2F1CF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社区模块实现了发帖—审核—展示的完整流程，管理后台与小程序共用云数据库，使内容运营可在 PC 浏览器完成。整体项目代码量涵盖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多个</w:t>
      </w: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小程序页面、4 个云函数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、1个云开发服务</w:t>
      </w: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及 1 套 Vue 管理后台。</w:t>
      </w:r>
    </w:p>
    <w:p w14:paraId="34C437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20" w:line="400" w:lineRule="exact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45" w:name="_Toc14294"/>
      <w:bookmarkStart w:id="46" w:name="_Toc18857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3.2 学习收获</w:t>
      </w:r>
      <w:bookmarkEnd w:id="45"/>
      <w:bookmarkEnd w:id="46"/>
    </w:p>
    <w:p w14:paraId="2C953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通过本次课程设计，我在以下几个方面获得了较为系统的提升。</w:t>
      </w:r>
    </w:p>
    <w:p w14:paraId="1BE3D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第一，微信小程序开发能力。 掌握了 WXML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WXSS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JS 页面开发、自定义 TabBar、组件化封装、云能力初始化、callFunction 与 uploadFile 等 API 的使用，理解了小程序与 Web 应用在运行机制、包体积、权限模型上的差异。</w:t>
      </w:r>
    </w:p>
    <w:p w14:paraId="61231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第二，云开发架构实践。 熟悉了云函数、云数据库、云存储、云托管的组合使用方式，理解了 Serverless 架构下“按量计费、免运维”的特点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实践中体会到 action 路由、配置分层（cloud-config.js、llm-config.js）、Mock 降级等工程化手段的价值：开发阶段可用 Mock 快速演示，联调阶段再切换云托管真实推理，降低环境依赖。</w:t>
      </w:r>
    </w:p>
    <w:p w14:paraId="786D8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第三，AI 能力集成经验。 将深度学习模型与大语言模型集成到移动应用，不仅是调用 API，更涉及超时控制、异步流程、错误提示、结果结构化与用户可解释性设计。例如识别结果需展示置信度与等级，诊断结果需分条列出防治建议，这些细节直接影响用户信任度。</w:t>
      </w:r>
    </w:p>
    <w:p w14:paraId="56E41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第四，全栈协作思维。 本项目涵盖移动端 UI、云函数业务、云托管推理服务与管理后台，使我体会到接口约定、数据模型设计、联调测试在整个项目中的重要性。一份清晰的 disease-class-map.json病害映射表，同时服务识别结果解析、作物列表展示与标准图匹配；云函数、云托管、管理后台共用同一套云数据库集合，体现了数据驱动与职责分离的设计思想。</w:t>
      </w:r>
    </w:p>
    <w:p w14:paraId="37D36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第五，问题排查能力。 开发中遇到的 INVALID_ENV、callContainer 超时、云函数 3 秒默认超时、云托管冷启动、云存储图片无法在列表页展示等问题，促使我学会阅读官方文档、查看云函数日志、使用detectHealth 与aiHealth 等接口做分层排查，而不是盲目修改前端代码。也认识到部署环节（依赖上传、超时配置、HTTP API 与 API Key）与编码同等重要。</w:t>
      </w:r>
    </w:p>
    <w:p w14:paraId="73245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综上所述，“云农智诊——基于 NFNet-F1 与大语言模型的农业智能问诊系统”是一次将移动平台应用开发、微信云开发 Serverless 架构与人工智能能力深度融合的综合性课程实践。项目以微信小程序为唯一用户入口，以云函数承担业务编排，以云托管承载 NFNet-F1 深度学习推理，以 DeepSeek 大语言模型提供结构化诊断与多轮问答，并配套 Vue3 管理后台实现内容与社区运营，形成了“识病—问诊—交流—记录—管理”的完整业务闭环。系统实现了从田间拍照上传、AI 识别病害、智能生成防治建议，到农友社区互动与个人历史追溯的全流程服务，在功能完整性、技术先进性与工程可落地性方面均达到了本课程设计的预期目标。</w:t>
      </w:r>
    </w:p>
    <w:p w14:paraId="427C2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通过本次设计，我不仅完成了一个可在微信开发者工具中演示、在云开发环境中真实部署运行的小程序作品，更在需求分析、架构设计、编码实现与联调排错的全过程中，亲历了云函数超时治理、云托管冷启动优化、HTTP 网关对接管理后台等实际工程问题，逐步建立起对智慧农业应用场景、移动端人机交互设计以及“端—云—AI 服务”分层架构的系统认识。这一经历使我更加理解移动平台开发不仅是界面实现，更是与后端、数据与智能服务协同的全栈工程；也为我今后在移动互联网、云计算与网络工程领域的进一步学习与实践奠定了较为扎实的基础。</w:t>
      </w:r>
    </w:p>
    <w:sectPr>
      <w:footerReference r:id="rId5" w:type="default"/>
      <w:pgSz w:w="10318" w:h="14570"/>
      <w:pgMar w:top="851" w:right="1104" w:bottom="1418" w:left="993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110C1">
    <w:pPr>
      <w:pStyle w:val="5"/>
      <w:tabs>
        <w:tab w:val="center" w:pos="4110"/>
        <w:tab w:val="clear" w:pos="4153"/>
      </w:tabs>
    </w:pPr>
    <w:r>
      <w:rPr>
        <w:rFonts w:hint="eastAsia"/>
        <w:lang w:eastAsia="zh-CN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0838C">
    <w:pPr>
      <w:pStyle w:val="5"/>
      <w:tabs>
        <w:tab w:val="center" w:pos="4110"/>
        <w:tab w:val="clear" w:pos="4153"/>
      </w:tabs>
    </w:pPr>
    <w:r>
      <w:rPr>
        <w:rFonts w:hint="eastAsia"/>
        <w:lang w:eastAsia="zh-CN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AFA93">
    <w:pPr>
      <w:pStyle w:val="5"/>
      <w:tabs>
        <w:tab w:val="center" w:pos="4110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7" name="文本框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13145D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COaguM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413145D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363035"/>
    <w:multiLevelType w:val="multilevel"/>
    <w:tmpl w:val="55363035"/>
    <w:lvl w:ilvl="0" w:tentative="0">
      <w:start w:val="1"/>
      <w:numFmt w:val="upperLetter"/>
      <w:pStyle w:val="2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、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CD5"/>
    <w:rsid w:val="00017576"/>
    <w:rsid w:val="000653A6"/>
    <w:rsid w:val="00090CD5"/>
    <w:rsid w:val="000E5671"/>
    <w:rsid w:val="003209CD"/>
    <w:rsid w:val="005732C2"/>
    <w:rsid w:val="00602732"/>
    <w:rsid w:val="00704653"/>
    <w:rsid w:val="00795977"/>
    <w:rsid w:val="007E7401"/>
    <w:rsid w:val="00823368"/>
    <w:rsid w:val="00833CF3"/>
    <w:rsid w:val="009C53E6"/>
    <w:rsid w:val="00A74AD5"/>
    <w:rsid w:val="00B75DAA"/>
    <w:rsid w:val="00BA2D1A"/>
    <w:rsid w:val="00C14E7C"/>
    <w:rsid w:val="00C26F13"/>
    <w:rsid w:val="00C5637E"/>
    <w:rsid w:val="00C56E2D"/>
    <w:rsid w:val="00C82216"/>
    <w:rsid w:val="00CE5BFD"/>
    <w:rsid w:val="00CF492F"/>
    <w:rsid w:val="00CF5500"/>
    <w:rsid w:val="00D2304C"/>
    <w:rsid w:val="00D477A4"/>
    <w:rsid w:val="00E90C66"/>
    <w:rsid w:val="029B032D"/>
    <w:rsid w:val="03D67F82"/>
    <w:rsid w:val="04425FE9"/>
    <w:rsid w:val="048E56D2"/>
    <w:rsid w:val="058A7C48"/>
    <w:rsid w:val="05EF03F3"/>
    <w:rsid w:val="06417756"/>
    <w:rsid w:val="06D53145"/>
    <w:rsid w:val="073360BD"/>
    <w:rsid w:val="0869448C"/>
    <w:rsid w:val="08D86F1C"/>
    <w:rsid w:val="08F33D56"/>
    <w:rsid w:val="093525C0"/>
    <w:rsid w:val="09EF09C1"/>
    <w:rsid w:val="0BF70001"/>
    <w:rsid w:val="0C2661F0"/>
    <w:rsid w:val="0C7B02EA"/>
    <w:rsid w:val="0D3D7C96"/>
    <w:rsid w:val="0E7E0566"/>
    <w:rsid w:val="0E8D2557"/>
    <w:rsid w:val="0F0D5446"/>
    <w:rsid w:val="10D64689"/>
    <w:rsid w:val="10F62635"/>
    <w:rsid w:val="11DF30C9"/>
    <w:rsid w:val="13A7230D"/>
    <w:rsid w:val="13FF5CA5"/>
    <w:rsid w:val="146F7A5B"/>
    <w:rsid w:val="149B41B6"/>
    <w:rsid w:val="14DE1D5E"/>
    <w:rsid w:val="156F29B6"/>
    <w:rsid w:val="16B20DAC"/>
    <w:rsid w:val="1796247C"/>
    <w:rsid w:val="18B74DA0"/>
    <w:rsid w:val="19886E22"/>
    <w:rsid w:val="198D3D53"/>
    <w:rsid w:val="1DE5415D"/>
    <w:rsid w:val="1F8B663F"/>
    <w:rsid w:val="2080016D"/>
    <w:rsid w:val="20EE50D7"/>
    <w:rsid w:val="225673D8"/>
    <w:rsid w:val="23BA1BE8"/>
    <w:rsid w:val="24DF7844"/>
    <w:rsid w:val="25BD32CA"/>
    <w:rsid w:val="25DF5936"/>
    <w:rsid w:val="2874680A"/>
    <w:rsid w:val="294F4B81"/>
    <w:rsid w:val="29C015DB"/>
    <w:rsid w:val="29C42E79"/>
    <w:rsid w:val="2ACB0237"/>
    <w:rsid w:val="2C1874AC"/>
    <w:rsid w:val="2DEE0C03"/>
    <w:rsid w:val="2E6B4A1E"/>
    <w:rsid w:val="2E7F3812"/>
    <w:rsid w:val="2FAB7D1C"/>
    <w:rsid w:val="308B0B94"/>
    <w:rsid w:val="309612E7"/>
    <w:rsid w:val="30E67B79"/>
    <w:rsid w:val="32C57C62"/>
    <w:rsid w:val="33A53035"/>
    <w:rsid w:val="342C61EA"/>
    <w:rsid w:val="36160F00"/>
    <w:rsid w:val="370C2303"/>
    <w:rsid w:val="370E53FF"/>
    <w:rsid w:val="38170F5F"/>
    <w:rsid w:val="3AAF2CA2"/>
    <w:rsid w:val="3B854432"/>
    <w:rsid w:val="3DD443B6"/>
    <w:rsid w:val="3DFC6C2D"/>
    <w:rsid w:val="3F4F358B"/>
    <w:rsid w:val="42463117"/>
    <w:rsid w:val="429F227D"/>
    <w:rsid w:val="4316059F"/>
    <w:rsid w:val="43A318F9"/>
    <w:rsid w:val="43AA2C88"/>
    <w:rsid w:val="44E623E5"/>
    <w:rsid w:val="488F12B1"/>
    <w:rsid w:val="48C12F4D"/>
    <w:rsid w:val="493F20C4"/>
    <w:rsid w:val="495C0F39"/>
    <w:rsid w:val="4CB37051"/>
    <w:rsid w:val="4F7F146C"/>
    <w:rsid w:val="50025BF9"/>
    <w:rsid w:val="507C775A"/>
    <w:rsid w:val="527F1783"/>
    <w:rsid w:val="558F7F2F"/>
    <w:rsid w:val="56BC2FA6"/>
    <w:rsid w:val="5728063B"/>
    <w:rsid w:val="57F30C49"/>
    <w:rsid w:val="58044C05"/>
    <w:rsid w:val="5ABA15AB"/>
    <w:rsid w:val="5B266C40"/>
    <w:rsid w:val="5BAB5397"/>
    <w:rsid w:val="5D0D455B"/>
    <w:rsid w:val="5DE828D3"/>
    <w:rsid w:val="5FB54A36"/>
    <w:rsid w:val="5FD255E8"/>
    <w:rsid w:val="62347E94"/>
    <w:rsid w:val="62361E5F"/>
    <w:rsid w:val="628250A4"/>
    <w:rsid w:val="62FF66F4"/>
    <w:rsid w:val="6367429A"/>
    <w:rsid w:val="64964E36"/>
    <w:rsid w:val="64D616D7"/>
    <w:rsid w:val="66014531"/>
    <w:rsid w:val="661E3335"/>
    <w:rsid w:val="670D6F06"/>
    <w:rsid w:val="675E59B4"/>
    <w:rsid w:val="67C1666E"/>
    <w:rsid w:val="68B27D65"/>
    <w:rsid w:val="69684B84"/>
    <w:rsid w:val="6BBD0EFB"/>
    <w:rsid w:val="6D062D75"/>
    <w:rsid w:val="6D631F76"/>
    <w:rsid w:val="6DAE53F9"/>
    <w:rsid w:val="6DFA4688"/>
    <w:rsid w:val="6E7A30D3"/>
    <w:rsid w:val="730E1953"/>
    <w:rsid w:val="73245D03"/>
    <w:rsid w:val="746F2FAE"/>
    <w:rsid w:val="755328D0"/>
    <w:rsid w:val="757C1E26"/>
    <w:rsid w:val="776112D4"/>
    <w:rsid w:val="7782124A"/>
    <w:rsid w:val="79E1494E"/>
    <w:rsid w:val="7AE91D0C"/>
    <w:rsid w:val="7B42141C"/>
    <w:rsid w:val="7CD75B94"/>
    <w:rsid w:val="7F196938"/>
    <w:rsid w:val="7F7B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after="220" w:line="360" w:lineRule="auto"/>
      <w:outlineLvl w:val="0"/>
    </w:pPr>
    <w:rPr>
      <w:rFonts w:ascii="黑体" w:eastAsia="黑体"/>
      <w:bCs/>
      <w:kern w:val="44"/>
      <w:sz w:val="30"/>
      <w:szCs w:val="30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99"/>
    <w:rPr>
      <w:sz w:val="24"/>
    </w:rPr>
  </w:style>
  <w:style w:type="paragraph" w:styleId="5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Table Paragraph"/>
    <w:basedOn w:val="1"/>
    <w:qFormat/>
    <w:uiPriority w:val="99"/>
  </w:style>
  <w:style w:type="character" w:customStyle="1" w:styleId="14">
    <w:name w:val="页眉 字符"/>
    <w:basedOn w:val="12"/>
    <w:link w:val="6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5">
    <w:name w:val="页脚 字符"/>
    <w:basedOn w:val="12"/>
    <w:link w:val="5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6">
    <w:name w:val="List Paragraph"/>
    <w:basedOn w:val="1"/>
    <w:uiPriority w:val="99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er" Target="foot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398</Words>
  <Characters>549</Characters>
  <Lines>4</Lines>
  <Paragraphs>1</Paragraphs>
  <TotalTime>12</TotalTime>
  <ScaleCrop>false</ScaleCrop>
  <LinksUpToDate>false</LinksUpToDate>
  <CharactersWithSpaces>557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2023-08-20T03:30:00Z</dcterms:created>
  <dc:creator>86199</dc:creator>
  <cp:lastModifiedBy>-潮落</cp:lastModifiedBy>
  <dcterms:modified xsi:type="dcterms:W3CDTF">2026-06-09T17:26:13Z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eyJoZGlkIjoiNjYyMTQ3OTc3MzA3NmZmNGM4MmJmMzM5NDEyNGFlZGUiLCJ1c2VySWQiOiIxMDU3NTgzMDY1In0=</vt:lpwstr>
  </property>
  <property fmtid="{D5CDD505-2E9C-101B-9397-08002B2CF9AE}" pid="4" name="ICV">
    <vt:lpwstr>3C55EF92E3EA4A359E8000B8F6CF9572_12</vt:lpwstr>
  </property>
</Properties>
</file>