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75" w:beforeAutospacing="0" w:after="150" w:afterAutospacing="0" w:line="10" w:lineRule="atLeast"/>
        <w:jc w:val="left"/>
      </w:pPr>
      <w:r>
        <w:rPr>
          <w:rFonts w:ascii="微软雅黑" w:hAnsi="微软雅黑" w:eastAsia="微软雅黑" w:cs="微软雅黑"/>
          <w:b/>
          <w:bCs/>
          <w:i w:val="0"/>
          <w:iCs w:val="0"/>
          <w:color w:val="000000"/>
          <w:spacing w:val="0"/>
          <w:sz w:val="36"/>
          <w:szCs w:val="36"/>
          <w:vertAlign w:val="baseline"/>
        </w:rPr>
        <w:t>产品概述</w:t>
      </w:r>
    </w:p>
    <w:p>
      <w:pPr>
        <w:pStyle w:val="4"/>
        <w:keepNext w:val="0"/>
        <w:keepLines w:val="0"/>
        <w:widowControl/>
        <w:suppressLineNumbers w:val="0"/>
        <w:spacing w:before="75" w:beforeAutospacing="0" w:after="150" w:afterAutospacing="0" w:line="10" w:lineRule="atLeast"/>
        <w:ind w:left="420" w:right="0"/>
        <w:jc w:val="both"/>
      </w:pPr>
      <w:r>
        <w:rPr>
          <w:rFonts w:hint="eastAsia" w:ascii="微软雅黑" w:hAnsi="微软雅黑" w:eastAsia="微软雅黑" w:cs="微软雅黑"/>
          <w:i w:val="0"/>
          <w:iCs w:val="0"/>
          <w:color w:val="000000"/>
          <w:spacing w:val="0"/>
          <w:sz w:val="22"/>
          <w:szCs w:val="22"/>
          <w:vertAlign w:val="baseline"/>
        </w:rPr>
        <w:t>星火·链网区块链浏览器</w:t>
      </w:r>
      <w:r>
        <w:rPr>
          <w:rFonts w:hint="eastAsia" w:ascii="微软雅黑" w:hAnsi="微软雅黑" w:eastAsia="微软雅黑" w:cs="微软雅黑"/>
          <w:i w:val="0"/>
          <w:iCs w:val="0"/>
          <w:color w:val="000000"/>
          <w:spacing w:val="0"/>
          <w:sz w:val="22"/>
          <w:szCs w:val="22"/>
          <w:vertAlign w:val="baseline"/>
          <w:lang w:eastAsia="zh-CN"/>
        </w:rPr>
        <w:t>（</w:t>
      </w:r>
      <w:r>
        <w:rPr>
          <w:rFonts w:hint="eastAsia" w:ascii="微软雅黑" w:hAnsi="微软雅黑" w:eastAsia="微软雅黑" w:cs="微软雅黑"/>
          <w:i w:val="0"/>
          <w:iCs w:val="0"/>
          <w:color w:val="000000"/>
          <w:spacing w:val="0"/>
          <w:sz w:val="22"/>
          <w:szCs w:val="22"/>
          <w:vertAlign w:val="baseline"/>
          <w:lang w:val="en-US" w:eastAsia="zh-CN"/>
        </w:rPr>
        <w:t>-超链接</w:t>
      </w:r>
      <w:r>
        <w:rPr>
          <w:rFonts w:hint="eastAsia" w:ascii="微软雅黑" w:hAnsi="微软雅黑" w:eastAsia="微软雅黑" w:cs="微软雅黑"/>
          <w:i w:val="0"/>
          <w:iCs w:val="0"/>
          <w:color w:val="000000"/>
          <w:spacing w:val="0"/>
          <w:sz w:val="22"/>
          <w:szCs w:val="22"/>
          <w:vertAlign w:val="baseline"/>
          <w:lang w:eastAsia="zh-CN"/>
        </w:rPr>
        <w:t>）</w:t>
      </w:r>
      <w:r>
        <w:rPr>
          <w:rFonts w:hint="eastAsia" w:ascii="微软雅黑" w:hAnsi="微软雅黑" w:eastAsia="微软雅黑" w:cs="微软雅黑"/>
          <w:i w:val="0"/>
          <w:iCs w:val="0"/>
          <w:color w:val="000000"/>
          <w:spacing w:val="0"/>
          <w:sz w:val="22"/>
          <w:szCs w:val="22"/>
          <w:vertAlign w:val="baseline"/>
        </w:rPr>
        <w:t>是星火·链网上的一种数据可视化工具，用户可以通过web页面，直接在浏览器上查看星火·链网的节点、区块、交易信息和子链信息、标识使用信息等，用以验证交易等区块链常用操作。</w:t>
      </w:r>
    </w:p>
    <w:p>
      <w:pPr>
        <w:pStyle w:val="2"/>
        <w:keepNext w:val="0"/>
        <w:keepLines w:val="0"/>
        <w:widowControl/>
        <w:suppressLineNumbers w:val="0"/>
        <w:spacing w:before="75" w:beforeAutospacing="0" w:after="150" w:afterAutospacing="0" w:line="10" w:lineRule="atLeast"/>
        <w:jc w:val="left"/>
      </w:pPr>
      <w:r>
        <w:rPr>
          <w:rFonts w:hint="eastAsia" w:ascii="微软雅黑" w:hAnsi="微软雅黑" w:eastAsia="微软雅黑" w:cs="微软雅黑"/>
          <w:b/>
          <w:bCs/>
          <w:i w:val="0"/>
          <w:iCs w:val="0"/>
          <w:color w:val="000000"/>
          <w:spacing w:val="0"/>
          <w:sz w:val="36"/>
          <w:szCs w:val="36"/>
          <w:vertAlign w:val="baseline"/>
          <w:lang w:val="en-US" w:eastAsia="zh-CN"/>
        </w:rPr>
        <w:t>1</w:t>
      </w:r>
      <w:r>
        <w:rPr>
          <w:rFonts w:hint="eastAsia" w:ascii="微软雅黑" w:hAnsi="微软雅黑" w:eastAsia="微软雅黑" w:cs="微软雅黑"/>
          <w:b/>
          <w:bCs/>
          <w:i w:val="0"/>
          <w:iCs w:val="0"/>
          <w:color w:val="000000"/>
          <w:spacing w:val="0"/>
          <w:sz w:val="36"/>
          <w:szCs w:val="36"/>
          <w:vertAlign w:val="baseline"/>
        </w:rPr>
        <w:t xml:space="preserve"> 功能模块</w:t>
      </w:r>
    </w:p>
    <w:p>
      <w:pPr>
        <w:pStyle w:val="3"/>
        <w:keepNext w:val="0"/>
        <w:keepLines w:val="0"/>
        <w:widowControl/>
        <w:suppressLineNumbers w:val="0"/>
        <w:spacing w:before="75" w:beforeAutospacing="0" w:after="150" w:afterAutospacing="0" w:line="10" w:lineRule="atLeast"/>
        <w:jc w:val="left"/>
      </w:pPr>
      <w:r>
        <w:rPr>
          <w:rFonts w:hint="eastAsia" w:ascii="微软雅黑" w:hAnsi="微软雅黑" w:eastAsia="微软雅黑" w:cs="微软雅黑"/>
          <w:b/>
          <w:bCs/>
          <w:i w:val="0"/>
          <w:iCs w:val="0"/>
          <w:color w:val="000000"/>
          <w:spacing w:val="0"/>
          <w:sz w:val="28"/>
          <w:szCs w:val="28"/>
          <w:vertAlign w:val="baseline"/>
        </w:rPr>
        <w:t>主链概览信息</w:t>
      </w:r>
    </w:p>
    <w:p>
      <w:pPr>
        <w:pStyle w:val="4"/>
        <w:keepNext w:val="0"/>
        <w:keepLines w:val="0"/>
        <w:widowControl/>
        <w:suppressLineNumbers w:val="0"/>
        <w:spacing w:before="75" w:beforeAutospacing="0" w:after="150" w:afterAutospacing="0" w:line="10" w:lineRule="atLeast"/>
        <w:ind w:left="420" w:right="0"/>
        <w:jc w:val="both"/>
      </w:pPr>
      <w:r>
        <w:rPr>
          <w:rFonts w:hint="eastAsia" w:ascii="微软雅黑" w:hAnsi="微软雅黑" w:eastAsia="微软雅黑" w:cs="微软雅黑"/>
          <w:i w:val="0"/>
          <w:iCs w:val="0"/>
          <w:color w:val="000000"/>
          <w:spacing w:val="0"/>
          <w:sz w:val="22"/>
          <w:szCs w:val="22"/>
          <w:vertAlign w:val="baseline"/>
        </w:rPr>
        <w:t>星火·链网主链的总体性概述，可以查看主链的整体运行结构，一般包括当前的当前区块高度、交易总量、节点概况、最新（若干条）的出块信息、最新（若干条）的交易信息、用户活跃信息、接入的子链和标识使用信息等等。</w:t>
      </w:r>
    </w:p>
    <w:p>
      <w:pPr>
        <w:pStyle w:val="4"/>
        <w:keepNext w:val="0"/>
        <w:keepLines w:val="0"/>
        <w:widowControl/>
        <w:suppressLineNumbers w:val="0"/>
        <w:spacing w:before="75" w:beforeAutospacing="0" w:after="150" w:afterAutospacing="0" w:line="10" w:lineRule="atLeast"/>
        <w:ind w:left="0" w:right="0"/>
        <w:jc w:val="both"/>
      </w:pPr>
      <w:r>
        <w:drawing>
          <wp:inline distT="0" distB="0" distL="114300" distR="114300">
            <wp:extent cx="5267325" cy="3505200"/>
            <wp:effectExtent l="0" t="0" r="317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67325" cy="3505200"/>
                    </a:xfrm>
                    <a:prstGeom prst="rect">
                      <a:avLst/>
                    </a:prstGeom>
                    <a:noFill/>
                    <a:ln w="9525">
                      <a:noFill/>
                    </a:ln>
                  </pic:spPr>
                </pic:pic>
              </a:graphicData>
            </a:graphic>
          </wp:inline>
        </w:drawing>
      </w:r>
    </w:p>
    <w:p>
      <w:pPr>
        <w:pStyle w:val="3"/>
        <w:keepNext w:val="0"/>
        <w:keepLines w:val="0"/>
        <w:widowControl/>
        <w:suppressLineNumbers w:val="0"/>
        <w:spacing w:before="75" w:beforeAutospacing="0" w:after="150" w:afterAutospacing="0" w:line="10" w:lineRule="atLeast"/>
        <w:jc w:val="left"/>
      </w:pPr>
      <w:r>
        <w:rPr>
          <w:rFonts w:hint="eastAsia" w:ascii="微软雅黑" w:hAnsi="微软雅黑" w:eastAsia="微软雅黑" w:cs="微软雅黑"/>
          <w:b/>
          <w:bCs/>
          <w:i w:val="0"/>
          <w:iCs w:val="0"/>
          <w:color w:val="000000"/>
          <w:spacing w:val="0"/>
          <w:sz w:val="28"/>
          <w:szCs w:val="28"/>
          <w:vertAlign w:val="baseline"/>
        </w:rPr>
        <w:t>区块信息</w:t>
      </w:r>
    </w:p>
    <w:p>
      <w:pPr>
        <w:pStyle w:val="4"/>
        <w:keepNext w:val="0"/>
        <w:keepLines w:val="0"/>
        <w:widowControl/>
        <w:suppressLineNumbers w:val="0"/>
        <w:spacing w:before="75" w:beforeAutospacing="0" w:after="150" w:afterAutospacing="0" w:line="10" w:lineRule="atLeast"/>
        <w:ind w:left="420" w:right="0"/>
        <w:jc w:val="both"/>
      </w:pPr>
      <w:r>
        <w:rPr>
          <w:rFonts w:hint="eastAsia" w:ascii="微软雅黑" w:hAnsi="微软雅黑" w:eastAsia="微软雅黑" w:cs="微软雅黑"/>
          <w:i w:val="0"/>
          <w:iCs w:val="0"/>
          <w:color w:val="000000"/>
          <w:spacing w:val="0"/>
          <w:sz w:val="22"/>
          <w:szCs w:val="22"/>
          <w:vertAlign w:val="baseline"/>
        </w:rPr>
        <w:t>在星火·链网区块链浏览器中，区块信息展示包括区块列表和单一区块的详情，以及包含的交易概要信息。</w:t>
      </w:r>
    </w:p>
    <w:p>
      <w:pPr>
        <w:pStyle w:val="4"/>
        <w:keepNext w:val="0"/>
        <w:keepLines w:val="0"/>
        <w:widowControl/>
        <w:suppressLineNumbers w:val="0"/>
        <w:spacing w:before="75" w:beforeAutospacing="0" w:after="150" w:afterAutospacing="0" w:line="10" w:lineRule="atLeast"/>
        <w:ind w:left="0" w:right="0"/>
        <w:jc w:val="left"/>
      </w:pPr>
      <w:r>
        <w:drawing>
          <wp:inline distT="0" distB="0" distL="114300" distR="114300">
            <wp:extent cx="5267325" cy="3952875"/>
            <wp:effectExtent l="0" t="0" r="317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67325" cy="3952875"/>
                    </a:xfrm>
                    <a:prstGeom prst="rect">
                      <a:avLst/>
                    </a:prstGeom>
                    <a:noFill/>
                    <a:ln w="9525">
                      <a:noFill/>
                    </a:ln>
                  </pic:spPr>
                </pic:pic>
              </a:graphicData>
            </a:graphic>
          </wp:inline>
        </w:drawing>
      </w:r>
    </w:p>
    <w:p>
      <w:pPr>
        <w:pStyle w:val="3"/>
        <w:keepNext w:val="0"/>
        <w:keepLines w:val="0"/>
        <w:widowControl/>
        <w:suppressLineNumbers w:val="0"/>
        <w:spacing w:before="75" w:beforeAutospacing="0" w:after="150" w:afterAutospacing="0" w:line="10" w:lineRule="atLeast"/>
        <w:jc w:val="left"/>
      </w:pPr>
      <w:r>
        <w:rPr>
          <w:rFonts w:hint="eastAsia" w:ascii="微软雅黑" w:hAnsi="微软雅黑" w:eastAsia="微软雅黑" w:cs="微软雅黑"/>
          <w:b/>
          <w:bCs/>
          <w:i w:val="0"/>
          <w:iCs w:val="0"/>
          <w:color w:val="000000"/>
          <w:spacing w:val="0"/>
          <w:sz w:val="28"/>
          <w:szCs w:val="28"/>
          <w:vertAlign w:val="baseline"/>
        </w:rPr>
        <w:t>交易信息</w:t>
      </w:r>
    </w:p>
    <w:p>
      <w:pPr>
        <w:pStyle w:val="4"/>
        <w:keepNext w:val="0"/>
        <w:keepLines w:val="0"/>
        <w:widowControl/>
        <w:suppressLineNumbers w:val="0"/>
        <w:spacing w:before="75" w:beforeAutospacing="0" w:after="150" w:afterAutospacing="0" w:line="10" w:lineRule="atLeast"/>
        <w:ind w:left="420" w:right="0"/>
        <w:jc w:val="both"/>
      </w:pPr>
      <w:r>
        <w:rPr>
          <w:rFonts w:hint="eastAsia" w:ascii="微软雅黑" w:hAnsi="微软雅黑" w:eastAsia="微软雅黑" w:cs="微软雅黑"/>
          <w:i w:val="0"/>
          <w:iCs w:val="0"/>
          <w:color w:val="000000"/>
          <w:spacing w:val="0"/>
          <w:sz w:val="22"/>
          <w:szCs w:val="22"/>
          <w:vertAlign w:val="baseline"/>
        </w:rPr>
        <w:t>包括转账交易和合约调用等。主要包含交易时间、所属区块、交易状态、交易费用、发起账户、目标账户等信息，还有的会包括调用的合约信息等。</w:t>
      </w:r>
    </w:p>
    <w:p>
      <w:pPr>
        <w:pStyle w:val="4"/>
        <w:keepNext w:val="0"/>
        <w:keepLines w:val="0"/>
        <w:widowControl/>
        <w:suppressLineNumbers w:val="0"/>
        <w:spacing w:before="75" w:beforeAutospacing="0" w:after="150" w:afterAutospacing="0" w:line="10" w:lineRule="atLeast"/>
        <w:ind w:left="0" w:right="0"/>
        <w:jc w:val="left"/>
      </w:pPr>
      <w:r>
        <w:drawing>
          <wp:inline distT="0" distB="0" distL="114300" distR="114300">
            <wp:extent cx="5267325" cy="4724400"/>
            <wp:effectExtent l="0" t="0" r="317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267325" cy="4724400"/>
                    </a:xfrm>
                    <a:prstGeom prst="rect">
                      <a:avLst/>
                    </a:prstGeom>
                    <a:noFill/>
                    <a:ln w="9525">
                      <a:noFill/>
                    </a:ln>
                  </pic:spPr>
                </pic:pic>
              </a:graphicData>
            </a:graphic>
          </wp:inline>
        </w:drawing>
      </w:r>
    </w:p>
    <w:p>
      <w:pPr>
        <w:pStyle w:val="3"/>
        <w:keepNext w:val="0"/>
        <w:keepLines w:val="0"/>
        <w:widowControl/>
        <w:suppressLineNumbers w:val="0"/>
        <w:spacing w:before="75" w:beforeAutospacing="0" w:after="150" w:afterAutospacing="0" w:line="10" w:lineRule="atLeast"/>
        <w:jc w:val="left"/>
      </w:pPr>
      <w:r>
        <w:rPr>
          <w:rFonts w:hint="eastAsia" w:ascii="微软雅黑" w:hAnsi="微软雅黑" w:eastAsia="微软雅黑" w:cs="微软雅黑"/>
          <w:b/>
          <w:bCs/>
          <w:i w:val="0"/>
          <w:iCs w:val="0"/>
          <w:color w:val="000000"/>
          <w:spacing w:val="0"/>
          <w:sz w:val="28"/>
          <w:szCs w:val="28"/>
          <w:vertAlign w:val="baseline"/>
        </w:rPr>
        <w:t>智能合约信息</w:t>
      </w:r>
    </w:p>
    <w:p>
      <w:pPr>
        <w:pStyle w:val="4"/>
        <w:keepNext w:val="0"/>
        <w:keepLines w:val="0"/>
        <w:widowControl/>
        <w:suppressLineNumbers w:val="0"/>
        <w:spacing w:before="75" w:beforeAutospacing="0" w:after="150" w:afterAutospacing="0" w:line="10" w:lineRule="atLeast"/>
        <w:ind w:left="420" w:right="0"/>
        <w:jc w:val="both"/>
      </w:pPr>
      <w:r>
        <w:rPr>
          <w:rFonts w:hint="eastAsia" w:ascii="微软雅黑" w:hAnsi="微软雅黑" w:eastAsia="微软雅黑" w:cs="微软雅黑"/>
          <w:i w:val="0"/>
          <w:iCs w:val="0"/>
          <w:color w:val="000000"/>
          <w:spacing w:val="0"/>
          <w:sz w:val="22"/>
          <w:szCs w:val="22"/>
          <w:vertAlign w:val="baseline"/>
        </w:rPr>
        <w:t>合约信息的展示主要包括合约的名字、合约所用语言的版本以及代码内容，以及调用该合约产生的交易等。</w:t>
      </w:r>
    </w:p>
    <w:p>
      <w:pPr>
        <w:pStyle w:val="4"/>
        <w:keepNext w:val="0"/>
        <w:keepLines w:val="0"/>
        <w:widowControl/>
        <w:suppressLineNumbers w:val="0"/>
        <w:spacing w:before="75" w:beforeAutospacing="0" w:after="150" w:afterAutospacing="0" w:line="10" w:lineRule="atLeast"/>
        <w:ind w:left="0" w:right="0"/>
        <w:jc w:val="left"/>
      </w:pPr>
      <w:r>
        <w:drawing>
          <wp:inline distT="0" distB="0" distL="114300" distR="114300">
            <wp:extent cx="5238750" cy="2543175"/>
            <wp:effectExtent l="0" t="0" r="635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238750" cy="2543175"/>
                    </a:xfrm>
                    <a:prstGeom prst="rect">
                      <a:avLst/>
                    </a:prstGeom>
                    <a:noFill/>
                    <a:ln w="9525">
                      <a:noFill/>
                    </a:ln>
                  </pic:spPr>
                </pic:pic>
              </a:graphicData>
            </a:graphic>
          </wp:inline>
        </w:drawing>
      </w:r>
    </w:p>
    <w:p>
      <w:pPr>
        <w:pStyle w:val="3"/>
        <w:keepNext w:val="0"/>
        <w:keepLines w:val="0"/>
        <w:widowControl/>
        <w:suppressLineNumbers w:val="0"/>
        <w:spacing w:before="75" w:beforeAutospacing="0" w:after="150" w:afterAutospacing="0" w:line="10" w:lineRule="atLeast"/>
        <w:jc w:val="left"/>
      </w:pPr>
      <w:r>
        <w:rPr>
          <w:rFonts w:hint="eastAsia" w:ascii="微软雅黑" w:hAnsi="微软雅黑" w:eastAsia="微软雅黑" w:cs="微软雅黑"/>
          <w:b/>
          <w:bCs/>
          <w:i w:val="0"/>
          <w:iCs w:val="0"/>
          <w:color w:val="000000"/>
          <w:spacing w:val="0"/>
          <w:sz w:val="28"/>
          <w:szCs w:val="28"/>
          <w:vertAlign w:val="baseline"/>
        </w:rPr>
        <w:t>账户信息</w:t>
      </w:r>
    </w:p>
    <w:p>
      <w:pPr>
        <w:pStyle w:val="4"/>
        <w:keepNext w:val="0"/>
        <w:keepLines w:val="0"/>
        <w:widowControl/>
        <w:suppressLineNumbers w:val="0"/>
        <w:spacing w:before="75" w:beforeAutospacing="0" w:after="150" w:afterAutospacing="0" w:line="10" w:lineRule="atLeast"/>
        <w:ind w:left="420" w:right="0"/>
        <w:jc w:val="both"/>
      </w:pPr>
      <w:r>
        <w:rPr>
          <w:rFonts w:hint="eastAsia" w:ascii="微软雅黑" w:hAnsi="微软雅黑" w:eastAsia="微软雅黑" w:cs="微软雅黑"/>
          <w:i w:val="0"/>
          <w:iCs w:val="0"/>
          <w:color w:val="000000"/>
          <w:spacing w:val="0"/>
          <w:sz w:val="22"/>
          <w:szCs w:val="22"/>
          <w:vertAlign w:val="baseline"/>
        </w:rPr>
        <w:t>汇集该账户项下的所有交易进行展示，一般包括基本信息和交易信息。</w:t>
      </w:r>
    </w:p>
    <w:p>
      <w:pPr>
        <w:pStyle w:val="4"/>
        <w:keepNext w:val="0"/>
        <w:keepLines w:val="0"/>
        <w:widowControl/>
        <w:suppressLineNumbers w:val="0"/>
        <w:spacing w:before="75" w:beforeAutospacing="0" w:after="150" w:afterAutospacing="0" w:line="10" w:lineRule="atLeast"/>
        <w:ind w:left="0" w:right="0"/>
        <w:jc w:val="left"/>
      </w:pPr>
      <w:r>
        <w:drawing>
          <wp:inline distT="0" distB="0" distL="114300" distR="114300">
            <wp:extent cx="5238750" cy="1676400"/>
            <wp:effectExtent l="0" t="0" r="635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238750" cy="1676400"/>
                    </a:xfrm>
                    <a:prstGeom prst="rect">
                      <a:avLst/>
                    </a:prstGeom>
                    <a:noFill/>
                    <a:ln w="9525">
                      <a:noFill/>
                    </a:ln>
                  </pic:spPr>
                </pic:pic>
              </a:graphicData>
            </a:graphic>
          </wp:inline>
        </w:drawing>
      </w:r>
    </w:p>
    <w:p>
      <w:pPr>
        <w:pStyle w:val="4"/>
        <w:keepNext w:val="0"/>
        <w:keepLines w:val="0"/>
        <w:widowControl/>
        <w:suppressLineNumbers w:val="0"/>
        <w:spacing w:before="75" w:beforeAutospacing="0" w:after="150" w:afterAutospacing="0" w:line="10" w:lineRule="atLeast"/>
        <w:ind w:left="0" w:right="0"/>
        <w:jc w:val="left"/>
      </w:pPr>
    </w:p>
    <w:p>
      <w:pPr>
        <w:pStyle w:val="3"/>
        <w:keepNext w:val="0"/>
        <w:keepLines w:val="0"/>
        <w:widowControl/>
        <w:suppressLineNumbers w:val="0"/>
        <w:spacing w:before="75" w:beforeAutospacing="0" w:after="150" w:afterAutospacing="0" w:line="10" w:lineRule="atLeast"/>
        <w:jc w:val="left"/>
      </w:pPr>
      <w:r>
        <w:rPr>
          <w:rFonts w:hint="eastAsia" w:ascii="微软雅黑" w:hAnsi="微软雅黑" w:eastAsia="微软雅黑" w:cs="微软雅黑"/>
          <w:b/>
          <w:bCs/>
          <w:i w:val="0"/>
          <w:iCs w:val="0"/>
          <w:color w:val="000000"/>
          <w:spacing w:val="0"/>
          <w:sz w:val="28"/>
          <w:szCs w:val="28"/>
          <w:vertAlign w:val="baseline"/>
        </w:rPr>
        <w:t>数据资产信息</w:t>
      </w:r>
    </w:p>
    <w:p>
      <w:pPr>
        <w:pStyle w:val="4"/>
        <w:keepNext w:val="0"/>
        <w:keepLines w:val="0"/>
        <w:widowControl/>
        <w:suppressLineNumbers w:val="0"/>
        <w:spacing w:before="75" w:beforeAutospacing="0" w:after="150" w:afterAutospacing="0" w:line="10" w:lineRule="atLeast"/>
        <w:ind w:left="420" w:right="0"/>
        <w:jc w:val="both"/>
      </w:pPr>
      <w:r>
        <w:rPr>
          <w:rFonts w:hint="eastAsia" w:ascii="微软雅黑" w:hAnsi="微软雅黑" w:eastAsia="微软雅黑" w:cs="微软雅黑"/>
          <w:i w:val="0"/>
          <w:iCs w:val="0"/>
          <w:color w:val="000000"/>
          <w:spacing w:val="0"/>
          <w:sz w:val="22"/>
          <w:szCs w:val="22"/>
          <w:vertAlign w:val="baseline"/>
        </w:rPr>
        <w:t>可以查看星火·链网内的子链标识注册量、解析量，公共服务使用情况，数据资源交易情况和星火令持有情况等。</w:t>
      </w:r>
    </w:p>
    <w:p>
      <w:pPr>
        <w:pStyle w:val="4"/>
        <w:keepNext w:val="0"/>
        <w:keepLines w:val="0"/>
        <w:widowControl/>
        <w:suppressLineNumbers w:val="0"/>
        <w:spacing w:before="75" w:beforeAutospacing="0" w:after="150" w:afterAutospacing="0" w:line="10" w:lineRule="atLeast"/>
        <w:ind w:left="0" w:right="0"/>
        <w:jc w:val="left"/>
      </w:pPr>
      <w:r>
        <w:drawing>
          <wp:inline distT="0" distB="0" distL="114300" distR="114300">
            <wp:extent cx="5238750" cy="3905250"/>
            <wp:effectExtent l="0" t="0" r="6350" b="635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238750" cy="3905250"/>
                    </a:xfrm>
                    <a:prstGeom prst="rect">
                      <a:avLst/>
                    </a:prstGeom>
                    <a:noFill/>
                    <a:ln w="9525">
                      <a:noFill/>
                    </a:ln>
                  </pic:spPr>
                </pic:pic>
              </a:graphicData>
            </a:graphic>
          </wp:inline>
        </w:drawing>
      </w:r>
    </w:p>
    <w:p>
      <w:pPr>
        <w:pStyle w:val="2"/>
        <w:keepNext w:val="0"/>
        <w:keepLines w:val="0"/>
        <w:widowControl/>
        <w:suppressLineNumbers w:val="0"/>
        <w:spacing w:before="75" w:beforeAutospacing="0" w:after="150" w:afterAutospacing="0" w:line="10" w:lineRule="atLeast"/>
        <w:jc w:val="left"/>
      </w:pPr>
      <w:r>
        <w:rPr>
          <w:rFonts w:hint="eastAsia" w:ascii="微软雅黑" w:hAnsi="微软雅黑" w:eastAsia="微软雅黑" w:cs="微软雅黑"/>
          <w:b/>
          <w:bCs/>
          <w:i w:val="0"/>
          <w:iCs w:val="0"/>
          <w:color w:val="000000"/>
          <w:spacing w:val="0"/>
          <w:sz w:val="36"/>
          <w:szCs w:val="36"/>
          <w:vertAlign w:val="baseline"/>
          <w:lang w:val="en-US" w:eastAsia="zh-CN"/>
        </w:rPr>
        <w:t xml:space="preserve">2 </w:t>
      </w:r>
      <w:r>
        <w:rPr>
          <w:rFonts w:hint="eastAsia" w:ascii="微软雅黑" w:hAnsi="微软雅黑" w:eastAsia="微软雅黑" w:cs="微软雅黑"/>
          <w:b/>
          <w:bCs/>
          <w:i w:val="0"/>
          <w:iCs w:val="0"/>
          <w:color w:val="000000"/>
          <w:spacing w:val="0"/>
          <w:sz w:val="36"/>
          <w:szCs w:val="36"/>
          <w:vertAlign w:val="baseline"/>
        </w:rPr>
        <w:t>应用场景</w:t>
      </w:r>
    </w:p>
    <w:p>
      <w:pPr>
        <w:pStyle w:val="4"/>
        <w:keepNext w:val="0"/>
        <w:keepLines w:val="0"/>
        <w:widowControl/>
        <w:suppressLineNumbers w:val="0"/>
        <w:spacing w:before="75" w:beforeAutospacing="0" w:after="150" w:afterAutospacing="0" w:line="10" w:lineRule="atLeast"/>
        <w:ind w:left="420" w:right="0"/>
        <w:jc w:val="both"/>
      </w:pPr>
      <w:r>
        <w:rPr>
          <w:rFonts w:hint="eastAsia" w:ascii="微软雅黑" w:hAnsi="微软雅黑" w:eastAsia="微软雅黑" w:cs="微软雅黑"/>
          <w:i w:val="0"/>
          <w:iCs w:val="0"/>
          <w:color w:val="000000"/>
          <w:spacing w:val="0"/>
          <w:sz w:val="22"/>
          <w:szCs w:val="22"/>
          <w:vertAlign w:val="baseline"/>
        </w:rPr>
        <w:t>星火·链网浏览器作为星火·链网的开放功能，任何人都可以从浏览器获取星火·链网主链的运行情况和子链标识、服务生态。</w:t>
      </w:r>
    </w:p>
    <w:p>
      <w:pPr>
        <w:pStyle w:val="4"/>
        <w:keepNext w:val="0"/>
        <w:keepLines w:val="0"/>
        <w:widowControl/>
        <w:suppressLineNumbers w:val="0"/>
        <w:spacing w:before="75" w:beforeAutospacing="0" w:after="150" w:afterAutospacing="0" w:line="10" w:lineRule="atLeast"/>
        <w:ind w:left="420" w:right="0"/>
        <w:jc w:val="both"/>
      </w:pPr>
      <w:r>
        <w:rPr>
          <w:rFonts w:hint="eastAsia" w:ascii="微软雅黑" w:hAnsi="微软雅黑" w:eastAsia="微软雅黑" w:cs="微软雅黑"/>
          <w:i w:val="0"/>
          <w:iCs w:val="0"/>
          <w:color w:val="000000"/>
          <w:spacing w:val="0"/>
          <w:sz w:val="22"/>
          <w:szCs w:val="22"/>
          <w:vertAlign w:val="baseline"/>
        </w:rPr>
        <w:t>星火·链网用户可以在交易执行、合约调用后，通过区块链浏览器核验链上的记录。</w:t>
      </w:r>
    </w:p>
    <w:p>
      <w:pPr>
        <w:pStyle w:val="2"/>
        <w:keepNext w:val="0"/>
        <w:keepLines w:val="0"/>
        <w:widowControl/>
        <w:suppressLineNumbers w:val="0"/>
        <w:spacing w:before="75" w:beforeAutospacing="0" w:after="150" w:afterAutospacing="0" w:line="10" w:lineRule="atLeast"/>
        <w:jc w:val="left"/>
      </w:pPr>
      <w:r>
        <w:rPr>
          <w:rFonts w:hint="eastAsia" w:ascii="微软雅黑" w:hAnsi="微软雅黑" w:eastAsia="微软雅黑" w:cs="微软雅黑"/>
          <w:b/>
          <w:bCs/>
          <w:i w:val="0"/>
          <w:iCs w:val="0"/>
          <w:color w:val="000000"/>
          <w:spacing w:val="0"/>
          <w:sz w:val="36"/>
          <w:szCs w:val="36"/>
          <w:vertAlign w:val="baseline"/>
          <w:lang w:val="en-US" w:eastAsia="zh-CN"/>
        </w:rPr>
        <w:t>3</w:t>
      </w:r>
      <w:r>
        <w:rPr>
          <w:rFonts w:hint="eastAsia" w:ascii="微软雅黑" w:hAnsi="微软雅黑" w:eastAsia="微软雅黑" w:cs="微软雅黑"/>
          <w:b/>
          <w:bCs/>
          <w:i w:val="0"/>
          <w:iCs w:val="0"/>
          <w:color w:val="000000"/>
          <w:spacing w:val="0"/>
          <w:sz w:val="36"/>
          <w:szCs w:val="36"/>
          <w:vertAlign w:val="baseline"/>
        </w:rPr>
        <w:t xml:space="preserve"> 基础术语</w:t>
      </w:r>
    </w:p>
    <w:p>
      <w:pPr>
        <w:pStyle w:val="4"/>
        <w:keepNext w:val="0"/>
        <w:keepLines w:val="0"/>
        <w:widowControl/>
        <w:suppressLineNumbers w:val="0"/>
        <w:spacing w:before="75" w:beforeAutospacing="0" w:after="150" w:afterAutospacing="0" w:line="10" w:lineRule="atLeast"/>
        <w:ind w:left="0" w:right="0"/>
        <w:jc w:val="left"/>
      </w:pPr>
      <w:r>
        <w:rPr>
          <w:rFonts w:hint="eastAsia" w:ascii="微软雅黑" w:hAnsi="微软雅黑" w:eastAsia="微软雅黑" w:cs="微软雅黑"/>
          <w:b/>
          <w:bCs/>
          <w:i w:val="0"/>
          <w:iCs w:val="0"/>
          <w:color w:val="000000"/>
          <w:spacing w:val="0"/>
          <w:sz w:val="22"/>
          <w:szCs w:val="22"/>
          <w:vertAlign w:val="baseline"/>
        </w:rPr>
        <w:t>交易：</w:t>
      </w:r>
      <w:r>
        <w:rPr>
          <w:rFonts w:hint="eastAsia" w:ascii="微软雅黑" w:hAnsi="微软雅黑" w:eastAsia="微软雅黑" w:cs="微软雅黑"/>
          <w:i w:val="0"/>
          <w:iCs w:val="0"/>
          <w:color w:val="000000"/>
          <w:spacing w:val="0"/>
          <w:sz w:val="22"/>
          <w:szCs w:val="22"/>
          <w:vertAlign w:val="baseline"/>
        </w:rPr>
        <w:t>交易是指在区块链中进行交换资产，在BIF中所有修改区块链数据的操作都称为交易，比如发行资产、转移资产、发送星火积分、创建账号、设置metadata、设置权限等都是交易。</w:t>
      </w:r>
    </w:p>
    <w:p>
      <w:pPr>
        <w:pStyle w:val="4"/>
        <w:keepNext w:val="0"/>
        <w:keepLines w:val="0"/>
        <w:widowControl/>
        <w:suppressLineNumbers w:val="0"/>
        <w:spacing w:before="75" w:beforeAutospacing="0" w:after="150" w:afterAutospacing="0" w:line="10" w:lineRule="atLeast"/>
        <w:ind w:left="0" w:right="0"/>
        <w:jc w:val="left"/>
      </w:pPr>
      <w:r>
        <w:rPr>
          <w:rFonts w:hint="eastAsia" w:ascii="微软雅黑" w:hAnsi="微软雅黑" w:eastAsia="微软雅黑" w:cs="微软雅黑"/>
          <w:b/>
          <w:bCs/>
          <w:i w:val="0"/>
          <w:iCs w:val="0"/>
          <w:color w:val="000000"/>
          <w:spacing w:val="0"/>
          <w:sz w:val="22"/>
          <w:szCs w:val="22"/>
          <w:vertAlign w:val="baseline"/>
        </w:rPr>
        <w:t>交易费用：</w:t>
      </w:r>
      <w:r>
        <w:rPr>
          <w:rFonts w:hint="eastAsia" w:ascii="微软雅黑" w:hAnsi="微软雅黑" w:eastAsia="微软雅黑" w:cs="微软雅黑"/>
          <w:i w:val="0"/>
          <w:iCs w:val="0"/>
          <w:color w:val="000000"/>
          <w:spacing w:val="0"/>
          <w:sz w:val="22"/>
          <w:szCs w:val="22"/>
          <w:vertAlign w:val="baseline"/>
        </w:rPr>
        <w:t>用户发送交易请求必须支付相应的交易费用，以填补区块链网络内计算机节点设备的折旧、电力、运维等成本。在BubiChain链中，区块链费用可以在交易前评估，且评估不收取任何费用，以方便用户根据自身情况合理提供交易费用。此外，费用的标准也可以在区块链运行过程中根据实际需要选举修改。</w:t>
      </w:r>
    </w:p>
    <w:p>
      <w:pPr>
        <w:pStyle w:val="4"/>
        <w:keepNext w:val="0"/>
        <w:keepLines w:val="0"/>
        <w:widowControl/>
        <w:suppressLineNumbers w:val="0"/>
        <w:spacing w:before="75" w:beforeAutospacing="0" w:after="150" w:afterAutospacing="0" w:line="10" w:lineRule="atLeast"/>
        <w:ind w:left="0" w:right="0"/>
        <w:jc w:val="left"/>
      </w:pPr>
      <w:r>
        <w:rPr>
          <w:rFonts w:hint="eastAsia" w:ascii="微软雅黑" w:hAnsi="微软雅黑" w:eastAsia="微软雅黑" w:cs="微软雅黑"/>
          <w:b/>
          <w:bCs/>
          <w:i w:val="0"/>
          <w:iCs w:val="0"/>
          <w:color w:val="000000"/>
          <w:spacing w:val="0"/>
          <w:sz w:val="22"/>
          <w:szCs w:val="22"/>
          <w:vertAlign w:val="baseline"/>
        </w:rPr>
        <w:t>调用合约：</w:t>
      </w:r>
      <w:r>
        <w:rPr>
          <w:rFonts w:hint="eastAsia" w:ascii="微软雅黑" w:hAnsi="微软雅黑" w:eastAsia="微软雅黑" w:cs="微软雅黑"/>
          <w:i w:val="0"/>
          <w:iCs w:val="0"/>
          <w:color w:val="000000"/>
          <w:spacing w:val="0"/>
          <w:sz w:val="22"/>
          <w:szCs w:val="22"/>
          <w:vertAlign w:val="baseline"/>
        </w:rPr>
        <w:t>链上转账时触发智能合约里的函数</w:t>
      </w:r>
    </w:p>
    <w:p>
      <w:pPr>
        <w:pStyle w:val="4"/>
        <w:keepNext w:val="0"/>
        <w:keepLines w:val="0"/>
        <w:widowControl/>
        <w:suppressLineNumbers w:val="0"/>
        <w:spacing w:before="75" w:beforeAutospacing="0" w:after="150" w:afterAutospacing="0" w:line="10" w:lineRule="atLeast"/>
        <w:ind w:left="0" w:right="0"/>
        <w:jc w:val="left"/>
      </w:pPr>
      <w:r>
        <w:rPr>
          <w:rFonts w:hint="eastAsia" w:ascii="微软雅黑" w:hAnsi="微软雅黑" w:eastAsia="微软雅黑" w:cs="微软雅黑"/>
          <w:b/>
          <w:bCs/>
          <w:i w:val="0"/>
          <w:iCs w:val="0"/>
          <w:color w:val="000000"/>
          <w:spacing w:val="0"/>
          <w:sz w:val="22"/>
          <w:szCs w:val="22"/>
          <w:vertAlign w:val="baseline"/>
        </w:rPr>
        <w:t>Nonce：</w:t>
      </w:r>
      <w:r>
        <w:rPr>
          <w:rFonts w:hint="eastAsia" w:ascii="微软雅黑" w:hAnsi="微软雅黑" w:eastAsia="微软雅黑" w:cs="微软雅黑"/>
          <w:i w:val="0"/>
          <w:iCs w:val="0"/>
          <w:color w:val="000000"/>
          <w:spacing w:val="0"/>
          <w:sz w:val="22"/>
          <w:szCs w:val="22"/>
          <w:vertAlign w:val="baseline"/>
        </w:rPr>
        <w:t>Nonce即随机数，是Number Used Once或者Number Once的缩写。在BIF-Core中，账户nonce值则是指每个账户都维护的一个序列号，用于用户提交交易时标识交易的执行顺序。</w:t>
      </w:r>
    </w:p>
    <w:p>
      <w:pPr>
        <w:pStyle w:val="4"/>
        <w:keepNext w:val="0"/>
        <w:keepLines w:val="0"/>
        <w:widowControl/>
        <w:suppressLineNumbers w:val="0"/>
        <w:spacing w:before="75" w:beforeAutospacing="0" w:after="150" w:afterAutospacing="0" w:line="10" w:lineRule="atLeast"/>
        <w:ind w:left="0" w:right="0"/>
        <w:jc w:val="left"/>
      </w:pPr>
      <w:r>
        <w:rPr>
          <w:rFonts w:hint="eastAsia" w:ascii="微软雅黑" w:hAnsi="微软雅黑" w:eastAsia="微软雅黑" w:cs="微软雅黑"/>
          <w:b/>
          <w:bCs/>
          <w:i w:val="0"/>
          <w:iCs w:val="0"/>
          <w:color w:val="000000"/>
          <w:spacing w:val="0"/>
          <w:sz w:val="22"/>
          <w:szCs w:val="22"/>
          <w:vertAlign w:val="baseline"/>
        </w:rPr>
        <w:t>交易哈希：</w:t>
      </w:r>
      <w:r>
        <w:rPr>
          <w:rFonts w:hint="eastAsia" w:ascii="微软雅黑" w:hAnsi="微软雅黑" w:eastAsia="微软雅黑" w:cs="微软雅黑"/>
          <w:i w:val="0"/>
          <w:iCs w:val="0"/>
          <w:color w:val="000000"/>
          <w:spacing w:val="0"/>
          <w:sz w:val="22"/>
          <w:szCs w:val="22"/>
          <w:vertAlign w:val="baseline"/>
        </w:rPr>
        <w:t>交易是指在区块链中进行交换资产，在BubiChain中所有修改区块链数据的操作都称为交易，比如发行资产、转移资产、发送Gas、创建账号、设置metadata、设置权限等都是交易。</w:t>
      </w:r>
    </w:p>
    <w:p>
      <w:pPr>
        <w:pStyle w:val="4"/>
        <w:keepNext w:val="0"/>
        <w:keepLines w:val="0"/>
        <w:widowControl/>
        <w:suppressLineNumbers w:val="0"/>
        <w:spacing w:before="75" w:beforeAutospacing="0" w:after="150" w:afterAutospacing="0" w:line="10" w:lineRule="atLeast"/>
        <w:ind w:left="0" w:right="0"/>
        <w:jc w:val="left"/>
      </w:pPr>
      <w:r>
        <w:rPr>
          <w:rFonts w:hint="eastAsia" w:ascii="微软雅黑" w:hAnsi="微软雅黑" w:eastAsia="微软雅黑" w:cs="微软雅黑"/>
          <w:b/>
          <w:bCs/>
          <w:i w:val="0"/>
          <w:iCs w:val="0"/>
          <w:color w:val="000000"/>
          <w:spacing w:val="0"/>
          <w:sz w:val="22"/>
          <w:szCs w:val="22"/>
          <w:vertAlign w:val="baseline"/>
        </w:rPr>
        <w:t>签名信息：</w:t>
      </w:r>
      <w:r>
        <w:rPr>
          <w:rFonts w:hint="eastAsia" w:ascii="微软雅黑" w:hAnsi="微软雅黑" w:eastAsia="微软雅黑" w:cs="微软雅黑"/>
          <w:i w:val="0"/>
          <w:iCs w:val="0"/>
          <w:color w:val="000000"/>
          <w:spacing w:val="0"/>
          <w:sz w:val="22"/>
          <w:szCs w:val="22"/>
          <w:vertAlign w:val="baseline"/>
        </w:rPr>
        <w:t>签名是指通过算法和私钥对交易数据进行加密确认并得到签名数据的过程。用户可以通过签名数据判断交易数据的完整性和正确性。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42763B"/>
    <w:rsid w:val="51A12547"/>
    <w:rsid w:val="57FF7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2022-03-22T07:22:00Z</dcterms:created>
  <dc:creator>Jamnie</dc:creator>
  <cp:lastModifiedBy>Nie</cp:lastModifiedBy>
  <dcterms:modified xsi:type="dcterms:W3CDTF">2022-03-22T08:30:11Z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C304D6F858404E40A68B3CD8AA6D8638</vt:lpwstr>
  </property>
</Properties>
</file>