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Ambassador</w:t>
      </w:r>
      <w:r>
        <w:t xml:space="preserve"> </w:t>
      </w:r>
      <w:r>
        <w:t xml:space="preserve">Council</w:t>
      </w:r>
      <w:r>
        <w:t xml:space="preserve"> </w:t>
      </w:r>
      <w:r>
        <w:t xml:space="preserve">Program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Spring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Bolívar</w:t>
      </w:r>
      <w:r>
        <w:t xml:space="preserve"> </w:t>
      </w:r>
      <w:r>
        <w:t xml:space="preserve">Aponte</w:t>
      </w:r>
      <w:r>
        <w:t xml:space="preserve"> </w:t>
      </w:r>
      <w:r>
        <w:t xml:space="preserve">Rolón</w:t>
      </w:r>
    </w:p>
    <w:p>
      <w:pPr>
        <w:pStyle w:val="Date"/>
      </w:pPr>
      <w:r>
        <w:t xml:space="preserve">2024-05-03</w:t>
      </w:r>
    </w:p>
    <w:bookmarkStart w:id="20" w:name="executive-summary"/>
    <w:p>
      <w:pPr>
        <w:pStyle w:val="Heading1"/>
      </w:pPr>
      <w:r>
        <w:t xml:space="preserve">1. Executive summary</w:t>
      </w:r>
    </w:p>
    <w:p>
      <w:pPr>
        <w:pStyle w:val="FirstParagraph"/>
      </w:pPr>
      <w:r>
        <w:t xml:space="preserve">The Data Ambassador Council (DAC) is a diverse cohort of undergraduate an graduate students that engage and have an input at CAIDS by solving problems regarding data programming.</w:t>
      </w:r>
      <w:r>
        <w:t xml:space="preserve"> </w:t>
      </w:r>
      <w:r>
        <w:t xml:space="preserve">The first DAC cohort undertook the objective of supporting CAIDS annual objective of</w:t>
      </w:r>
      <w:r>
        <w:t xml:space="preserve"> </w:t>
      </w:r>
      <w:r>
        <w:t xml:space="preserve">“</w:t>
      </w:r>
      <w:r>
        <w:t xml:space="preserve">getting the word out about CAIDS</w:t>
      </w:r>
      <w:r>
        <w:t xml:space="preserve">”</w:t>
      </w:r>
      <w:r>
        <w:t xml:space="preserve">.</w:t>
      </w:r>
      <w:r>
        <w:t xml:space="preserve"> </w:t>
      </w:r>
      <w:r>
        <w:t xml:space="preserve">To address this DAC developed promotional products (e.g. sticker), social media and in-person strategies to increase CAIDS presence at Tulane University.</w:t>
      </w:r>
    </w:p>
    <w:p>
      <w:pPr>
        <w:pStyle w:val="BodyText"/>
      </w:pPr>
      <w:r>
        <w:t xml:space="preserve">The DAC developed social media presence by creating digital media and product with CAIDS brand, as well as slogans regarding data science and data literacy.</w:t>
      </w:r>
      <w:r>
        <w:t xml:space="preserve"> </w:t>
      </w:r>
      <w:r>
        <w:t xml:space="preserve">The DAC team comprised of 10 undergraduate students, 1 graduate student and 1 graduate student serving as Data Lab Manager/Product Developer.</w:t>
      </w:r>
      <w:r>
        <w:t xml:space="preserve"> </w:t>
      </w:r>
      <w:r>
        <w:t xml:space="preserve">The team meet bi-weekly starting in January 2024 until April 29th 2024.</w:t>
      </w:r>
      <w:r>
        <w:t xml:space="preserve"> </w:t>
      </w:r>
      <w:r>
        <w:t xml:space="preserve">In the absence of a CAIDS communications liaison to enact the social media campaigns developed by DAC, the Data Lab Manager and DAC members assumed the responsibility.</w:t>
      </w:r>
      <w:r>
        <w:t xml:space="preserve"> </w:t>
      </w:r>
      <w:r>
        <w:t xml:space="preserve">Since DAC assumed social media responsibilities, Facebook and Instagram posts’ engagement increased by 150% and 82.7% respectively (see [#Tasks and Sprints] section).</w:t>
      </w:r>
    </w:p>
    <w:p>
      <w:pPr>
        <w:pStyle w:val="BodyText"/>
      </w:pPr>
      <w:r>
        <w:t xml:space="preserve">The main event organized was a tabling event on April 3 at McAlister Booths.</w:t>
      </w:r>
      <w:r>
        <w:t xml:space="preserve"> </w:t>
      </w:r>
      <w:r>
        <w:t xml:space="preserve">The objective of the tabling event was to bring visibility to DAC and CAIDS events and course offering while collecting names and emails for a future list-serve and newsletter data base.</w:t>
      </w:r>
      <w:r>
        <w:t xml:space="preserve"> </w:t>
      </w:r>
      <w:r>
        <w:t xml:space="preserve">This event required the development of stickers with CAIDS branding (e.g.,</w:t>
      </w:r>
      <w:r>
        <w:t xml:space="preserve"> </w:t>
      </w:r>
      <w:r>
        <w:t xml:space="preserve">“</w:t>
      </w:r>
      <w:r>
        <w:t xml:space="preserve">Data Equity</w:t>
      </w:r>
      <w:r>
        <w:t xml:space="preserve">”</w:t>
      </w:r>
      <w:r>
        <w:t xml:space="preserve"> </w:t>
      </w:r>
      <w:r>
        <w:t xml:space="preserve">@tulanecaids</w:t>
      </w:r>
      <w:r>
        <w:t xml:space="preserve">, see below) and flyers advertising CAIDS’ Fall 2024 course offerings.</w:t>
      </w:r>
      <w:r>
        <w:t xml:space="preserve"> </w:t>
      </w:r>
      <w:r>
        <w:t xml:space="preserve">It was a success with over 50 people stopping by the table and providing their information.</w:t>
      </w:r>
      <w:r>
        <w:t xml:space="preserve"> </w:t>
      </w:r>
      <w:r>
        <w:t xml:space="preserve">The same digital media used for flyers was used on social media platforms (Facebook, Instagram and X).</w:t>
      </w:r>
      <w:r>
        <w:t xml:space="preserve"> </w:t>
      </w:r>
      <w:r>
        <w:t xml:space="preserve">All digital media is stored in the Data Lab’s Canva account and Google Drive folder.</w:t>
      </w:r>
    </w:p>
    <w:p>
      <w:pPr>
        <w:pStyle w:val="BodyText"/>
      </w:pPr>
      <w:r>
        <w:t xml:space="preserve">The following report aims to summarize and reflect on the Data Lab’s inaugural cohort of Data Ambassador Council (DAC) during Spring 2024.</w:t>
      </w:r>
      <w:r>
        <w:t xml:space="preserve"> </w:t>
      </w:r>
      <w:r>
        <w:t xml:space="preserve">The DAC cohort was led by Dr. Jacquelyne Thoni-Howard, Ph. D.</w:t>
      </w:r>
      <w:r>
        <w:t xml:space="preserve"> </w:t>
      </w:r>
      <w:r>
        <w:t xml:space="preserve">as the Data Lab Director and Bolívar Aponte Rolón as the Data Lab Manager.</w:t>
      </w:r>
    </w:p>
    <w:bookmarkEnd w:id="20"/>
    <w:bookmarkStart w:id="27" w:name="program-overview"/>
    <w:p>
      <w:pPr>
        <w:pStyle w:val="Heading1"/>
      </w:pPr>
      <w:r>
        <w:t xml:space="preserve">2. Program Overview</w:t>
      </w:r>
    </w:p>
    <w:p>
      <w:pPr>
        <w:pStyle w:val="FirstParagraph"/>
      </w:pPr>
      <w:r>
        <w:t xml:space="preserve">The Data Ambassador Council (DAC) aims to offer a diverse cohort of undergraduate an graduate students the opportunity to engage and have an input at CAIDS.</w:t>
      </w:r>
      <w:r>
        <w:t xml:space="preserve"> </w:t>
      </w:r>
      <w:r>
        <w:t xml:space="preserve">In support of CAIDS vision and mission to</w:t>
      </w:r>
      <w:r>
        <w:t xml:space="preserve"> </w:t>
      </w:r>
      <w:r>
        <w:t xml:space="preserve">“</w:t>
      </w:r>
      <w:r>
        <w:t xml:space="preserve">enable Tulane students across all disciplines to understand how data shapes our environment</w:t>
      </w:r>
      <w:r>
        <w:t xml:space="preserve">”</w:t>
      </w:r>
      <w:r>
        <w:t xml:space="preserve"> </w:t>
      </w:r>
      <w:r>
        <w:t xml:space="preserve">and as advocates for data equity, DAC members communicate CAIDS initiatives to the student body at Tulane and act as a student-led focus group that explores data initiatives and solves problems to ensure that CAIDS data programming supports the needs of Tulane students.</w:t>
      </w:r>
      <w:r>
        <w:t xml:space="preserve"> </w:t>
      </w:r>
      <w:r>
        <w:t xml:space="preserve">Through intentional and collaborative work, the DAC ambassadors will provide solutions and ideas centered around data programming needs (e.g. curriculum, workshops, etc.) at Tulane.</w:t>
      </w:r>
      <w:r>
        <w:t xml:space="preserve"> </w:t>
      </w:r>
      <w:r>
        <w:t xml:space="preserve">Ambassadors will work with Tulane faculty, graduate students, and staff on projects that contribute to the advancement of data research, equity and literacy.</w:t>
      </w:r>
      <w:r>
        <w:t xml:space="preserve"> </w:t>
      </w:r>
      <w:r>
        <w:t xml:space="preserve">This will provide Ambassadors the opportunity to develop technical skill sets in their areas of interest and beyond.</w:t>
      </w:r>
    </w:p>
    <w:bookmarkStart w:id="22" w:name="objectives"/>
    <w:p>
      <w:pPr>
        <w:pStyle w:val="Heading2"/>
      </w:pPr>
      <w:r>
        <w:t xml:space="preserve">2.1 Objectives</w:t>
      </w:r>
    </w:p>
    <w:p>
      <w:pPr>
        <w:pStyle w:val="FirstParagraph"/>
      </w:pPr>
      <w:r>
        <w:t xml:space="preserve">The Data Ambassador Council (DAC) aims to support participant students in gaining knowledge and skills to achieve data literacy by using equity frameworks that:</w:t>
      </w:r>
    </w:p>
    <w:p>
      <w:pPr>
        <w:numPr>
          <w:ilvl w:val="0"/>
          <w:numId w:val="1001"/>
        </w:numPr>
        <w:pStyle w:val="Compact"/>
      </w:pPr>
      <w:r>
        <w:t xml:space="preserve">Collects information and provides feedback on the data needs (curriculum, programming, workshops, etc.) of undergraduate and graduate students at Tulane University. </w:t>
      </w:r>
    </w:p>
    <w:p>
      <w:pPr>
        <w:numPr>
          <w:ilvl w:val="0"/>
          <w:numId w:val="1001"/>
        </w:numPr>
        <w:pStyle w:val="Compact"/>
      </w:pPr>
      <w:r>
        <w:t xml:space="preserve">Works collaboratively as a focus group to brainstorm and solve problems around data programming.</w:t>
      </w:r>
    </w:p>
    <w:p>
      <w:pPr>
        <w:numPr>
          <w:ilvl w:val="0"/>
          <w:numId w:val="1001"/>
        </w:numPr>
        <w:pStyle w:val="Compact"/>
      </w:pPr>
      <w:r>
        <w:t xml:space="preserve">Build supportive interdisciplinary equity-minded data communities for students at Tulane University through collaboration, mentorship, and networking.</w:t>
      </w:r>
    </w:p>
    <w:p>
      <w:pPr>
        <w:numPr>
          <w:ilvl w:val="0"/>
          <w:numId w:val="1001"/>
        </w:numPr>
        <w:pStyle w:val="Compact"/>
      </w:pPr>
      <w:r>
        <w:t xml:space="preserve">Increases data literacy by engaging in data research (collecting, managing, analyzing, presenting) and making it accessible and relevant for technical and non-technical majors.</w:t>
      </w:r>
    </w:p>
    <w:p>
      <w:pPr>
        <w:numPr>
          <w:ilvl w:val="0"/>
          <w:numId w:val="1001"/>
        </w:numPr>
        <w:pStyle w:val="Compact"/>
      </w:pPr>
      <w:r>
        <w:t xml:space="preserve">Works collaboratively as a scrum team on a range data research projects of CAIDS and Tulane faculty while building a portfolio of data and essential skills.</w:t>
      </w:r>
    </w:p>
    <w:p>
      <w:pPr>
        <w:numPr>
          <w:ilvl w:val="0"/>
          <w:numId w:val="1001"/>
        </w:numPr>
        <w:pStyle w:val="Compact"/>
      </w:pPr>
      <w:r>
        <w:t xml:space="preserve">Foster high level scholarship through the use of free and open source software (FOSS) to develop transparent and reproducible data project deliverables, product reviews, project manuals, and workflows.</w:t>
      </w:r>
    </w:p>
    <w:p>
      <w:pPr>
        <w:pStyle w:val="FirstParagraph"/>
      </w:pPr>
      <w:r>
        <w:rPr>
          <w:iCs/>
          <w:i/>
          <w:bCs/>
          <w:b/>
        </w:rPr>
        <w:t xml:space="preserve">Project Types:</w:t>
      </w:r>
      <w:r>
        <w:t xml:space="preserve"> </w:t>
      </w:r>
    </w:p>
    <w:p>
      <w:pPr>
        <w:pStyle w:val="BodyText"/>
      </w:pPr>
      <w:r>
        <w:t xml:space="preserve">Students will discover data skills relating to Data Collection (Surveys), Focus Groups, Data Visualization, Graphic Design, Science Communication, and UX/UI by:</w:t>
      </w:r>
    </w:p>
    <w:p>
      <w:pPr>
        <w:numPr>
          <w:ilvl w:val="0"/>
          <w:numId w:val="1002"/>
        </w:numPr>
        <w:pStyle w:val="Compact"/>
      </w:pPr>
      <w:r>
        <w:t xml:space="preserve">Designing campaigns around swag, posters, and social media using graphic design. </w:t>
      </w:r>
    </w:p>
    <w:p>
      <w:pPr>
        <w:numPr>
          <w:ilvl w:val="0"/>
          <w:numId w:val="1002"/>
        </w:numPr>
        <w:pStyle w:val="Compact"/>
      </w:pPr>
      <w:r>
        <w:t xml:space="preserve">Developing and administering surveys and polls on campus about data initiatives, </w:t>
      </w:r>
    </w:p>
    <w:p>
      <w:pPr>
        <w:numPr>
          <w:ilvl w:val="0"/>
          <w:numId w:val="1002"/>
        </w:numPr>
        <w:pStyle w:val="Compact"/>
      </w:pPr>
      <w:r>
        <w:t xml:space="preserve">Sharing information with Tulane students through event planning, tabling, and presentations, </w:t>
      </w:r>
    </w:p>
    <w:p>
      <w:pPr>
        <w:numPr>
          <w:ilvl w:val="0"/>
          <w:numId w:val="1002"/>
        </w:numPr>
        <w:pStyle w:val="Compact"/>
      </w:pPr>
      <w:r>
        <w:t xml:space="preserve">Showcasing advocacy work with a poster at the CAIDS </w:t>
      </w:r>
      <w:hyperlink r:id="rId21">
        <w:r>
          <w:rPr>
            <w:rStyle w:val="Hyperlink"/>
          </w:rPr>
          <w:t xml:space="preserve">Data Zine and Poster Session</w:t>
        </w:r>
      </w:hyperlink>
      <w:r>
        <w:t xml:space="preserve">.</w:t>
      </w:r>
    </w:p>
    <w:bookmarkEnd w:id="22"/>
    <w:bookmarkStart w:id="25" w:name="program-values"/>
    <w:p>
      <w:pPr>
        <w:pStyle w:val="Heading2"/>
      </w:pPr>
      <w:r>
        <w:t xml:space="preserve">2.2 Program Values</w:t>
      </w:r>
    </w:p>
    <w:bookmarkStart w:id="24" w:name="intersectional-feminist-values"/>
    <w:p>
      <w:pPr>
        <w:pStyle w:val="Heading3"/>
      </w:pPr>
      <w:r>
        <w:t xml:space="preserve">2.2.1 Intersectional Feminist Values</w:t>
      </w:r>
    </w:p>
    <w:p>
      <w:pPr>
        <w:pStyle w:val="FirstParagraph"/>
      </w:pPr>
      <w:r>
        <w:t xml:space="preserve">These values were taken from the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Feminist Pedagogy for Teaching Online</w:t>
        </w:r>
      </w:hyperlink>
      <w:r>
        <w:t xml:space="preserve">”</w:t>
      </w:r>
      <w:r>
        <w:t xml:space="preserve"> </w:t>
      </w:r>
      <w:r>
        <w:t xml:space="preserve">Guide.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Success is more than achieving your goals. It is living your values.”</w:t>
      </w:r>
      <w:r>
        <w:t xml:space="preserve"> </w:t>
      </w:r>
      <w:r>
        <w:t xml:space="preserve">- Adam Grant</w:t>
      </w:r>
    </w:p>
    <w:p>
      <w:pPr>
        <w:pStyle w:val="FirstParagraph"/>
      </w:pPr>
      <w:r>
        <w:t xml:space="preserve">Goals: Share work, delegate, collectively problem solve, forward-facing/open communications, do not hide, transparent/documentation, boundaries/self-care, take on realistic work, no blame/ take accountability, allow yourself to take risks, must document help tickets,</w:t>
      </w:r>
    </w:p>
    <w:p>
      <w:pPr>
        <w:pStyle w:val="BodyText"/>
      </w:pPr>
      <w:r>
        <w:rPr>
          <w:bCs/>
          <w:b/>
        </w:rPr>
        <w:t xml:space="preserve">Team Value #1:</w:t>
      </w:r>
      <w:r>
        <w:t xml:space="preserve"> </w:t>
      </w:r>
      <w:r>
        <w:rPr>
          <w:bCs/>
          <w:b/>
        </w:rPr>
        <w:t xml:space="preserve">Using technology intentionally to build communities and enhance learning and Examining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why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addition to 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what.</w:t>
      </w:r>
      <w:r>
        <w:rPr>
          <w:bCs/>
          <w:b/>
        </w:rP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Scrum - Individual needs and Interactions over processes and tools. (Software)</w:t>
      </w:r>
    </w:p>
    <w:p>
      <w:pPr>
        <w:numPr>
          <w:ilvl w:val="0"/>
          <w:numId w:val="1003"/>
        </w:numPr>
        <w:pStyle w:val="Compact"/>
      </w:pPr>
      <w:r>
        <w:t xml:space="preserve">Center the client’s needs including project sustainability and the intern’s voices in doing that work.</w:t>
      </w:r>
    </w:p>
    <w:p>
      <w:pPr>
        <w:numPr>
          <w:ilvl w:val="0"/>
          <w:numId w:val="1003"/>
        </w:numPr>
        <w:pStyle w:val="Compact"/>
      </w:pPr>
      <w:r>
        <w:t xml:space="preserve">Active communication by eliminating information silos.</w:t>
      </w:r>
    </w:p>
    <w:p>
      <w:pPr>
        <w:numPr>
          <w:ilvl w:val="0"/>
          <w:numId w:val="1003"/>
        </w:numPr>
        <w:pStyle w:val="Compact"/>
      </w:pPr>
      <w:r>
        <w:t xml:space="preserve">Respond to change over following the plan. Prioritize flexibility of the team and functionality of the product. Document changes, make a new plan, and implement.</w:t>
      </w:r>
    </w:p>
    <w:p>
      <w:pPr>
        <w:numPr>
          <w:ilvl w:val="0"/>
          <w:numId w:val="1003"/>
        </w:numPr>
        <w:pStyle w:val="Compact"/>
      </w:pPr>
      <w:r>
        <w:t xml:space="preserve">Sometimes we have to do the difficult time consuming work instead of finding a trendy workaround.</w:t>
      </w:r>
    </w:p>
    <w:p>
      <w:pPr>
        <w:numPr>
          <w:ilvl w:val="0"/>
          <w:numId w:val="1003"/>
        </w:numPr>
        <w:pStyle w:val="Compact"/>
      </w:pPr>
      <w:r>
        <w:t xml:space="preserve">Considering the user and client’s needs when researching and developing.</w:t>
      </w:r>
    </w:p>
    <w:p>
      <w:pPr>
        <w:pStyle w:val="FirstParagraph"/>
      </w:pPr>
      <w:r>
        <w:rPr>
          <w:bCs/>
          <w:b/>
        </w:rPr>
        <w:t xml:space="preserve">Team Value #2</w:t>
      </w:r>
      <w:r>
        <w:t xml:space="preserve">:</w:t>
      </w:r>
      <w:r>
        <w:t xml:space="preserve"> </w:t>
      </w:r>
      <w:r>
        <w:rPr>
          <w:bCs/>
          <w:b/>
        </w:rPr>
        <w:t xml:space="preserve">Connecting to the personal and to communities outside of academia and Uncovering the causes of inequality and leveraging resources toward undoing power structures</w:t>
      </w:r>
    </w:p>
    <w:p>
      <w:pPr>
        <w:numPr>
          <w:ilvl w:val="0"/>
          <w:numId w:val="1004"/>
        </w:numPr>
        <w:pStyle w:val="Compact"/>
      </w:pPr>
      <w:r>
        <w:t xml:space="preserve">Seeing the Reciprocal Exchanges in collaboration and in partnership.</w:t>
      </w:r>
    </w:p>
    <w:p>
      <w:pPr>
        <w:numPr>
          <w:ilvl w:val="0"/>
          <w:numId w:val="1004"/>
        </w:numPr>
        <w:pStyle w:val="Compact"/>
      </w:pPr>
      <w:r>
        <w:t xml:space="preserve">Focus on the client’s needs, abilities, and sustainability when designing projects.</w:t>
      </w:r>
    </w:p>
    <w:p>
      <w:pPr>
        <w:numPr>
          <w:ilvl w:val="0"/>
          <w:numId w:val="1004"/>
        </w:numPr>
        <w:pStyle w:val="Compact"/>
      </w:pPr>
      <w:r>
        <w:t xml:space="preserve">Take care in your work by not speeding through tasks and starting projects last minute. See discussion, research and trial and error as part of the process.</w:t>
      </w:r>
    </w:p>
    <w:p>
      <w:pPr>
        <w:numPr>
          <w:ilvl w:val="0"/>
          <w:numId w:val="1004"/>
        </w:numPr>
        <w:pStyle w:val="Compact"/>
      </w:pPr>
      <w:r>
        <w:t xml:space="preserve">Document for the future in clear and simple terms as essential work.</w:t>
      </w:r>
    </w:p>
    <w:p>
      <w:pPr>
        <w:numPr>
          <w:ilvl w:val="0"/>
          <w:numId w:val="1004"/>
        </w:numPr>
        <w:pStyle w:val="Compact"/>
      </w:pPr>
      <w:r>
        <w:t xml:space="preserve">See the importance and bigger picture of the work that you are being trusted and asked to do.</w:t>
      </w:r>
    </w:p>
    <w:p>
      <w:pPr>
        <w:pStyle w:val="FirstParagraph"/>
      </w:pPr>
      <w:r>
        <w:rPr>
          <w:bCs/>
          <w:b/>
        </w:rPr>
        <w:t xml:space="preserve">Team Value #3:</w:t>
      </w:r>
      <w:r>
        <w:t xml:space="preserve"> </w:t>
      </w:r>
      <w:r>
        <w:rPr>
          <w:bCs/>
          <w:b/>
        </w:rPr>
        <w:t xml:space="preserve">Treating students as agentic co-educators and promoting cooperative learning</w:t>
      </w:r>
    </w:p>
    <w:p>
      <w:pPr>
        <w:numPr>
          <w:ilvl w:val="0"/>
          <w:numId w:val="1005"/>
        </w:numPr>
        <w:pStyle w:val="Compact"/>
      </w:pPr>
      <w:r>
        <w:t xml:space="preserve">Collaborative, interdisciplinary, student-led (bottom up management approach).</w:t>
      </w:r>
    </w:p>
    <w:p>
      <w:pPr>
        <w:numPr>
          <w:ilvl w:val="0"/>
          <w:numId w:val="1005"/>
        </w:numPr>
        <w:pStyle w:val="Compact"/>
      </w:pPr>
      <w:r>
        <w:t xml:space="preserve">Everyone has something to contribute and equal voice on the team.</w:t>
      </w:r>
    </w:p>
    <w:p>
      <w:pPr>
        <w:numPr>
          <w:ilvl w:val="0"/>
          <w:numId w:val="1005"/>
        </w:numPr>
        <w:pStyle w:val="Compact"/>
      </w:pPr>
      <w:r>
        <w:t xml:space="preserve">Everyone works on and knows about all of the projects.</w:t>
      </w:r>
    </w:p>
    <w:p>
      <w:pPr>
        <w:numPr>
          <w:ilvl w:val="0"/>
          <w:numId w:val="1005"/>
        </w:numPr>
        <w:pStyle w:val="Compact"/>
      </w:pPr>
      <w:r>
        <w:t xml:space="preserve">Keep up active cross team, cohort, and client communication channels through documentation (GitHub, skills manuals, product backlogs).</w:t>
      </w:r>
    </w:p>
    <w:p>
      <w:pPr>
        <w:numPr>
          <w:ilvl w:val="0"/>
          <w:numId w:val="1005"/>
        </w:numPr>
        <w:pStyle w:val="Compact"/>
      </w:pPr>
      <w:r>
        <w:t xml:space="preserve">Work in pairs and talk about work as much as possible</w:t>
      </w:r>
    </w:p>
    <w:p>
      <w:pPr>
        <w:pStyle w:val="FirstParagraph"/>
      </w:pPr>
      <w:r>
        <w:rPr>
          <w:bCs/>
          <w:b/>
        </w:rPr>
        <w:t xml:space="preserve">Team Value #4: Building equity, trust, mutual respect, and support</w:t>
      </w:r>
    </w:p>
    <w:p>
      <w:pPr>
        <w:numPr>
          <w:ilvl w:val="0"/>
          <w:numId w:val="1006"/>
        </w:numPr>
        <w:pStyle w:val="Compact"/>
      </w:pPr>
      <w:r>
        <w:t xml:space="preserve">Pull together to get the work done.</w:t>
      </w:r>
    </w:p>
    <w:p>
      <w:pPr>
        <w:numPr>
          <w:ilvl w:val="0"/>
          <w:numId w:val="1006"/>
        </w:numPr>
        <w:pStyle w:val="Compact"/>
      </w:pPr>
      <w:r>
        <w:t xml:space="preserve">Support each other when working on challenging materials.</w:t>
      </w:r>
    </w:p>
    <w:p>
      <w:pPr>
        <w:numPr>
          <w:ilvl w:val="0"/>
          <w:numId w:val="1006"/>
        </w:numPr>
        <w:pStyle w:val="Compact"/>
      </w:pPr>
      <w:r>
        <w:t xml:space="preserve">Hold each other accountable for showing up ready to work.</w:t>
      </w:r>
    </w:p>
    <w:p>
      <w:pPr>
        <w:numPr>
          <w:ilvl w:val="0"/>
          <w:numId w:val="1006"/>
        </w:numPr>
        <w:pStyle w:val="Compact"/>
      </w:pPr>
      <w:r>
        <w:t xml:space="preserve">Listen and take away important information from meetings.</w:t>
      </w:r>
    </w:p>
    <w:p>
      <w:pPr>
        <w:numPr>
          <w:ilvl w:val="0"/>
          <w:numId w:val="1006"/>
        </w:numPr>
        <w:pStyle w:val="Compact"/>
      </w:pPr>
      <w:r>
        <w:t xml:space="preserve">Read the cards before the meeting.</w:t>
      </w:r>
    </w:p>
    <w:p>
      <w:pPr>
        <w:numPr>
          <w:ilvl w:val="0"/>
          <w:numId w:val="1006"/>
        </w:numPr>
        <w:pStyle w:val="Compact"/>
      </w:pPr>
      <w:r>
        <w:t xml:space="preserve">Show/Demonstrate your work. Interns will never be in trouble by showing that they tried or by communicating problems early.</w:t>
      </w:r>
    </w:p>
    <w:p>
      <w:pPr>
        <w:pStyle w:val="FirstParagraph"/>
      </w:pPr>
      <w:r>
        <w:rPr>
          <w:bCs/>
          <w:b/>
        </w:rPr>
        <w:t xml:space="preserve">Team Value #5: Cultivating self-care and boundaries</w:t>
      </w:r>
    </w:p>
    <w:p>
      <w:pPr>
        <w:numPr>
          <w:ilvl w:val="0"/>
          <w:numId w:val="1007"/>
        </w:numPr>
        <w:pStyle w:val="Compact"/>
      </w:pPr>
      <w:r>
        <w:t xml:space="preserve">If sick or overwhelmed, proactively communicate with Jacque and make a plan. Do not come to work sick.</w:t>
      </w:r>
    </w:p>
    <w:p>
      <w:pPr>
        <w:numPr>
          <w:ilvl w:val="0"/>
          <w:numId w:val="1007"/>
        </w:numPr>
        <w:pStyle w:val="Compact"/>
      </w:pPr>
      <w:r>
        <w:t xml:space="preserve">Look at the week ahead before scrum and be realistic about the work you can take on.</w:t>
      </w:r>
    </w:p>
    <w:p>
      <w:pPr>
        <w:numPr>
          <w:ilvl w:val="0"/>
          <w:numId w:val="1007"/>
        </w:numPr>
        <w:pStyle w:val="Compact"/>
      </w:pPr>
      <w:r>
        <w:t xml:space="preserve">Communicate through proper channels especially when stuck.</w:t>
      </w:r>
    </w:p>
    <w:p>
      <w:pPr>
        <w:numPr>
          <w:ilvl w:val="0"/>
          <w:numId w:val="1007"/>
        </w:numPr>
        <w:pStyle w:val="Compact"/>
      </w:pPr>
      <w:r>
        <w:t xml:space="preserve">Give each other time to respond.</w:t>
      </w:r>
    </w:p>
    <w:p>
      <w:pPr>
        <w:numPr>
          <w:ilvl w:val="0"/>
          <w:numId w:val="1007"/>
        </w:numPr>
        <w:pStyle w:val="Compact"/>
      </w:pPr>
      <w:r>
        <w:t xml:space="preserve">Do not work off the clock.</w:t>
      </w:r>
    </w:p>
    <w:p>
      <w:pPr>
        <w:numPr>
          <w:ilvl w:val="0"/>
          <w:numId w:val="1007"/>
        </w:numPr>
        <w:pStyle w:val="Compact"/>
      </w:pPr>
      <w:r>
        <w:t xml:space="preserve">While Devs may ask questions when they are on shifts, the PDs will answer those questions asked in slack during their assigned slack office hours.</w:t>
      </w:r>
    </w:p>
    <w:p>
      <w:pPr>
        <w:pStyle w:val="FirstParagraph"/>
      </w:pPr>
      <w:r>
        <w:rPr>
          <w:bCs/>
          <w:b/>
        </w:rPr>
        <w:t xml:space="preserve">Team Value 6: Examining how gender, intersecting with other social categories, structures our lives, learning, and knowledge production, access to resources and information.</w:t>
      </w:r>
    </w:p>
    <w:p>
      <w:pPr>
        <w:numPr>
          <w:ilvl w:val="0"/>
          <w:numId w:val="1008"/>
        </w:numPr>
        <w:pStyle w:val="Compact"/>
      </w:pPr>
      <w:r>
        <w:t xml:space="preserve">Readings and curriculum in Technology Studies</w:t>
      </w:r>
    </w:p>
    <w:p>
      <w:pPr>
        <w:numPr>
          <w:ilvl w:val="0"/>
          <w:numId w:val="1008"/>
        </w:numPr>
        <w:pStyle w:val="Compact"/>
      </w:pPr>
      <w:r>
        <w:t xml:space="preserve">Zine</w:t>
      </w:r>
    </w:p>
    <w:p>
      <w:pPr>
        <w:numPr>
          <w:ilvl w:val="0"/>
          <w:numId w:val="1008"/>
        </w:numPr>
        <w:pStyle w:val="Compact"/>
      </w:pPr>
      <w:r>
        <w:t xml:space="preserve">Technology Showcase</w:t>
      </w:r>
    </w:p>
    <w:bookmarkEnd w:id="24"/>
    <w:bookmarkEnd w:id="25"/>
    <w:bookmarkStart w:id="26" w:name="policies-rules"/>
    <w:p>
      <w:pPr>
        <w:pStyle w:val="Heading2"/>
      </w:pPr>
      <w:r>
        <w:t xml:space="preserve">2.3 Policies &amp; Rules</w:t>
      </w:r>
    </w:p>
    <w:bookmarkEnd w:id="26"/>
    <w:bookmarkEnd w:id="27"/>
    <w:bookmarkStart w:id="39" w:name="first-cohort-team-building"/>
    <w:p>
      <w:pPr>
        <w:pStyle w:val="Heading1"/>
      </w:pPr>
      <w:r>
        <w:t xml:space="preserve">3. First Cohort Team Building</w:t>
      </w:r>
    </w:p>
    <w:p>
      <w:pPr>
        <w:pStyle w:val="FirstParagraph"/>
      </w:pPr>
      <w:r>
        <w:t xml:space="preserve">The Spring of 2024 marked the first semester of the DAC program.</w:t>
      </w:r>
      <w:r>
        <w:t xml:space="preserve"> </w:t>
      </w:r>
      <w:r>
        <w:t xml:space="preserve">The DAC set out to support CAIDS annual objective of</w:t>
      </w:r>
      <w:r>
        <w:t xml:space="preserve"> </w:t>
      </w:r>
      <w:r>
        <w:t xml:space="preserve">“</w:t>
      </w:r>
      <w:r>
        <w:t xml:space="preserve">getting the word out about CAIDS</w:t>
      </w:r>
      <w:r>
        <w:t xml:space="preserve">”</w:t>
      </w:r>
      <w:r>
        <w:t xml:space="preserve">.</w:t>
      </w:r>
      <w:r>
        <w:t xml:space="preserve"> </w:t>
      </w:r>
      <w:r>
        <w:t xml:space="preserve">To address this DAC developed promotional products (e.g. sticker), social media and in-person strategies to increase CAIDS presence at Tulane University.</w:t>
      </w:r>
      <w:r>
        <w:br/>
      </w:r>
      <w:r>
        <w:t xml:space="preserve">This broad objective from CAIDS created the challenge of</w:t>
      </w:r>
      <w:r>
        <w:t xml:space="preserve"> </w:t>
      </w:r>
      <w:r>
        <w:t xml:space="preserve">“</w:t>
      </w:r>
      <w:r>
        <w:t xml:space="preserve">defining</w:t>
      </w:r>
      <w:r>
        <w:t xml:space="preserve">”</w:t>
      </w:r>
      <w:r>
        <w:t xml:space="preserve"> </w:t>
      </w:r>
      <w:r>
        <w:t xml:space="preserve">what DAC was and what it was capable of achieving during a 17 week semester.</w:t>
      </w:r>
      <w:r>
        <w:t xml:space="preserve"> </w:t>
      </w:r>
      <w:r>
        <w:t xml:space="preserve">The lack of previous experience from CAIDS and DAC members caused confusion on what DAC was supposed to do and how to do it.</w:t>
      </w:r>
      <w:r>
        <w:t xml:space="preserve"> </w:t>
      </w:r>
      <w:r>
        <w:t xml:space="preserve">With the support of Dr. Howard and Bolívar Aponte, the students were able to translate objectives to actionable items to complete during each sprint.</w:t>
      </w:r>
      <w:r>
        <w:t xml:space="preserve"> </w:t>
      </w:r>
      <w:r>
        <w:t xml:space="preserve">Incorporating students from the Downtown campus posed a great challenge, as well as including graduate students perspectives.</w:t>
      </w:r>
      <w:r>
        <w:t xml:space="preserve"> </w:t>
      </w:r>
      <w:r>
        <w:t xml:space="preserve">While undergraduate students are generally more active on campus life and are living on-campus, graduate students from Uptown or Downtown campus have, generally, more responsibilities or</w:t>
      </w:r>
      <w:r>
        <w:t xml:space="preserve"> </w:t>
      </w:r>
      <w:r>
        <w:t xml:space="preserve">“</w:t>
      </w:r>
      <w:r>
        <w:t xml:space="preserve">more</w:t>
      </w:r>
      <w:r>
        <w:t xml:space="preserve">”</w:t>
      </w:r>
      <w:r>
        <w:t xml:space="preserve"> </w:t>
      </w:r>
      <w:r>
        <w:t xml:space="preserve">going on and arriving at a common meeting time and place required greater effort.</w:t>
      </w:r>
      <w:r>
        <w:t xml:space="preserve"> </w:t>
      </w:r>
      <w:r>
        <w:t xml:space="preserve">This student profile is important to include in future cohorts because graduate students serves a teaching assistants and are active researcher at Tulane.</w:t>
      </w:r>
      <w:r>
        <w:t xml:space="preserve"> </w:t>
      </w:r>
      <w:r>
        <w:t xml:space="preserve">They generate data and are tasked with extracting valuable insights from it.</w:t>
      </w:r>
      <w:r>
        <w:t xml:space="preserve"> </w:t>
      </w:r>
      <w:r>
        <w:t xml:space="preserve">CAIDS and DAC can support their professional development by including them in DAC and creating products valuable to them.</w:t>
      </w:r>
      <w:r>
        <w:t xml:space="preserve"> </w:t>
      </w:r>
      <w:r>
        <w:t xml:space="preserve">Team building is something that the Data Lab Manager and Product Developer need to address at the start of every cohort and represent an on going effort (see details in</w:t>
      </w:r>
      <w:r>
        <w:t xml:space="preserve"> </w:t>
      </w:r>
      <w:hyperlink w:anchor="sec-self_analysis">
        <w:r>
          <w:rPr>
            <w:rStyle w:val="Hyperlink"/>
          </w:rPr>
          <w:t xml:space="preserve">Section 5</w:t>
        </w:r>
      </w:hyperlink>
      <w:r>
        <w:t xml:space="preserve"> </w:t>
      </w:r>
      <w:r>
        <w:t xml:space="preserve">section).</w:t>
      </w:r>
    </w:p>
    <w:bookmarkStart w:id="32" w:name="a-framework-to-reach-solutions"/>
    <w:p>
      <w:pPr>
        <w:pStyle w:val="Heading2"/>
      </w:pPr>
      <w:r>
        <w:t xml:space="preserve">3.1 A framework to reach solutions</w:t>
      </w:r>
    </w:p>
    <w:p>
      <w:pPr>
        <w:pStyle w:val="FirstParagraph"/>
      </w:pPr>
      <w:r>
        <w:t xml:space="preserve">The DAC team’s way reaching solutions is based on the SCRUM/agile framework top</w:t>
      </w:r>
      <w:r>
        <w:t xml:space="preserve"> </w:t>
      </w:r>
      <w:r>
        <w:rPr>
          <w:bCs/>
          <w:b/>
        </w:rPr>
        <w:t xml:space="preserve">deliver value</w:t>
      </w:r>
      <w:r>
        <w:t xml:space="preserve"> incrementally.</w:t>
      </w:r>
      <w:r>
        <w:t xml:space="preserve"> </w:t>
      </w:r>
      <w:r>
        <w:t xml:space="preserve">We met bi-weekly and established tasks to work on for two-week sprints.</w:t>
      </w:r>
      <w:r>
        <w:t xml:space="preserve"> </w:t>
      </w:r>
      <w:r>
        <w:t xml:space="preserve">During meetings we had individual stand ups with ambassadors and check ins on what was achieved during the sprint.</w:t>
      </w:r>
      <w:r>
        <w:t xml:space="preserve"> </w:t>
      </w:r>
      <w:r>
        <w:t xml:space="preserve">We approached and measured success by answering:</w:t>
      </w:r>
      <w:r>
        <w:br/>
      </w:r>
      <w:r>
        <w:t xml:space="preserve">- What did I work on yesterday (past-week)?</w:t>
      </w:r>
      <w:r>
        <w:t xml:space="preserve"> </w:t>
      </w:r>
      <w:r>
        <w:t xml:space="preserve">- What am I working on today (current-week)?</w:t>
      </w:r>
      <w:r>
        <w:t xml:space="preserve"> </w:t>
      </w:r>
      <w:r>
        <w:t xml:space="preserve">- What issues are blocking me?</w:t>
      </w:r>
    </w:p>
    <w:p>
      <w:pPr>
        <w:pStyle w:val="BodyText"/>
      </w:pPr>
      <w:r>
        <w:t xml:space="preserve">By addressing these questions we made sure to renegotiate the following sprints goals and objectives.</w:t>
      </w:r>
      <w:r>
        <w:t xml:space="preserve"> </w:t>
      </w:r>
      <w:r>
        <w:t xml:space="preserve">Our team workflow was the following:</w:t>
      </w:r>
    </w:p>
    <w:bookmarkStart w:id="31" w:name="scrum-flowchart"/>
    <w:p>
      <w:pPr>
        <w:pStyle w:val="Heading3"/>
      </w:pPr>
      <w:r>
        <w:t xml:space="preserve">3.1.1 Scrum flowchart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3557016" cy="942746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C_Report_files/figure-docx/mermaid-figur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16" cy="942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1"/>
    <w:bookmarkEnd w:id="32"/>
    <w:bookmarkStart w:id="38" w:name="key-positions-data-lab-manager"/>
    <w:p>
      <w:pPr>
        <w:pStyle w:val="Heading2"/>
      </w:pPr>
      <w:r>
        <w:t xml:space="preserve">3.2 Key Positions: Data Lab Manager</w:t>
      </w:r>
    </w:p>
    <w:p>
      <w:pPr>
        <w:pStyle w:val="FirstParagraph"/>
      </w:pPr>
      <w:r>
        <w:t xml:space="preserve">The Spring 2024 DAC cohort benefited from having a designated graduate student functioning as Product Developer with the following duties: - Represent and communicate graduate students’ data related needs.</w:t>
      </w:r>
      <w:r>
        <w:t xml:space="preserve"> </w:t>
      </w:r>
      <w:r>
        <w:t xml:space="preserve">- Mentor DAC members.</w:t>
      </w:r>
      <w:r>
        <w:t xml:space="preserve"> </w:t>
      </w:r>
      <w:r>
        <w:t xml:space="preserve">- Organize bi-weekly meetings.</w:t>
      </w:r>
      <w:r>
        <w:t xml:space="preserve"> </w:t>
      </w:r>
      <w:r>
        <w:t xml:space="preserve">- Establish meeting agendas and objectives.</w:t>
      </w:r>
      <w:r>
        <w:t xml:space="preserve"> </w:t>
      </w:r>
      <w:r>
        <w:t xml:space="preserve">- Manage Projects through Notion (project management platform).</w:t>
      </w:r>
      <w:r>
        <w:t xml:space="preserve"> </w:t>
      </w:r>
      <w:r>
        <w:t xml:space="preserve">- Develop skill training for DAC member or allocate resources for skill building.</w:t>
      </w:r>
      <w:r>
        <w:t xml:space="preserve"> </w:t>
      </w:r>
      <w:r>
        <w:t xml:space="preserve">- Collaborate with CAIDS Communications Manager to streamline social media campaigns, surveys and promotional material generated by DAC.</w:t>
      </w:r>
    </w:p>
    <w:bookmarkStart w:id="36" w:name="data-lab-manager-operations-flowchart"/>
    <w:p>
      <w:pPr>
        <w:pStyle w:val="Heading3"/>
      </w:pPr>
      <w:r>
        <w:t xml:space="preserve">3.2.1 Data Lab Manager operations flowchart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943600" cy="398664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C_Report_files/figure-docx/mermaid-figure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6"/>
    <w:bookmarkStart w:id="37" w:name="section"/>
    <w:p>
      <w:pPr>
        <w:pStyle w:val="Heading3"/>
      </w:pPr>
      <w:r>
        <w:t xml:space="preserve">3.2.2</w:t>
      </w:r>
      <w:r>
        <w:t xml:space="preserve"> </w:t>
      </w:r>
    </w:p>
    <w:bookmarkEnd w:id="37"/>
    <w:bookmarkEnd w:id="38"/>
    <w:bookmarkEnd w:id="39"/>
    <w:bookmarkStart w:id="48" w:name="tasks-and-sprints"/>
    <w:p>
      <w:pPr>
        <w:pStyle w:val="Heading1"/>
      </w:pPr>
      <w:r>
        <w:t xml:space="preserve">4. Tasks and Sprints</w:t>
      </w:r>
    </w:p>
    <w:bookmarkStart w:id="44" w:name="social-media-and-products"/>
    <w:p>
      <w:pPr>
        <w:pStyle w:val="Heading2"/>
      </w:pPr>
      <w:r>
        <w:t xml:space="preserve">4.1 Social Media and Products</w:t>
      </w:r>
    </w:p>
    <w:p>
      <w:pPr>
        <w:pStyle w:val="FirstParagraph"/>
      </w:pPr>
      <w:r>
        <w:t xml:space="preserve">Another challenge for this is producing the digital template for better branding on our social media posts</w:t>
      </w:r>
    </w:p>
    <w:bookmarkStart w:id="42" w:name="deliverables"/>
    <w:p>
      <w:pPr>
        <w:pStyle w:val="Heading3"/>
      </w:pPr>
      <w:r>
        <w:t xml:space="preserve">4.1.1 Deliverables</w:t>
      </w:r>
    </w:p>
    <w:bookmarkStart w:id="40" w:name="stickers"/>
    <w:p>
      <w:pPr>
        <w:pStyle w:val="Heading4"/>
      </w:pPr>
      <w:r>
        <w:t xml:space="preserve">4.1.1.1 Stickers</w:t>
      </w:r>
    </w:p>
    <w:bookmarkEnd w:id="40"/>
    <w:bookmarkStart w:id="41" w:name="course-flyers"/>
    <w:p>
      <w:pPr>
        <w:pStyle w:val="Heading4"/>
      </w:pPr>
      <w:r>
        <w:t xml:space="preserve">4.1.1.2 Course flyers</w:t>
      </w:r>
    </w:p>
    <w:bookmarkEnd w:id="41"/>
    <w:bookmarkEnd w:id="42"/>
    <w:bookmarkStart w:id="43" w:name="outcomes"/>
    <w:p>
      <w:pPr>
        <w:pStyle w:val="Heading3"/>
      </w:pPr>
      <w:r>
        <w:t xml:space="preserve">4.1.2 Outcomes</w:t>
      </w:r>
    </w:p>
    <w:bookmarkEnd w:id="43"/>
    <w:bookmarkEnd w:id="44"/>
    <w:bookmarkStart w:id="46" w:name="workshops"/>
    <w:p>
      <w:pPr>
        <w:pStyle w:val="Heading2"/>
      </w:pPr>
      <w:r>
        <w:t xml:space="preserve">4.2 Workshops</w:t>
      </w:r>
    </w:p>
    <w:bookmarkStart w:id="45" w:name="deliverables-1"/>
    <w:p>
      <w:pPr>
        <w:pStyle w:val="Heading3"/>
      </w:pPr>
      <w:r>
        <w:t xml:space="preserve">4.2.1 Deliverables</w:t>
      </w:r>
    </w:p>
    <w:bookmarkEnd w:id="45"/>
    <w:bookmarkEnd w:id="46"/>
    <w:bookmarkStart w:id="47" w:name="skill-learning"/>
    <w:p>
      <w:pPr>
        <w:pStyle w:val="Heading2"/>
      </w:pPr>
      <w:r>
        <w:t xml:space="preserve">4.3 Skill Learning</w:t>
      </w:r>
    </w:p>
    <w:bookmarkEnd w:id="47"/>
    <w:bookmarkEnd w:id="48"/>
    <w:bookmarkStart w:id="56" w:name="sec-self_analysis"/>
    <w:p>
      <w:pPr>
        <w:pStyle w:val="Heading1"/>
      </w:pPr>
      <w:r>
        <w:t xml:space="preserve">5. Self Analysis</w:t>
      </w:r>
    </w:p>
    <w:p>
      <w:pPr>
        <w:pStyle w:val="FirstParagraph"/>
      </w:pPr>
      <w:r>
        <w:t xml:space="preserve">Getting the teams together and setting up the infrastructure.</w:t>
      </w:r>
      <w:r>
        <w:t xml:space="preserve"> </w:t>
      </w:r>
      <w:r>
        <w:t xml:space="preserve">How was DAC gonna work?</w:t>
      </w:r>
    </w:p>
    <w:bookmarkStart w:id="49" w:name="review-of-previous-actions"/>
    <w:p>
      <w:pPr>
        <w:pStyle w:val="Heading2"/>
      </w:pPr>
      <w:r>
        <w:t xml:space="preserve">5.1 1. Review of Previous Actions</w:t>
      </w:r>
    </w:p>
    <w:p>
      <w:pPr>
        <w:pStyle w:val="SourceCode"/>
      </w:pPr>
      <w:r>
        <w:rPr>
          <w:rStyle w:val="VerbatimChar"/>
        </w:rPr>
        <w:t xml:space="preserve">- Analysis of SAC's actions over Spring 2024</w:t>
      </w:r>
      <w:r>
        <w:br/>
      </w:r>
      <w:r>
        <w:rPr>
          <w:rStyle w:val="VerbatimChar"/>
        </w:rPr>
        <w:t xml:space="preserve">- Assessment of the effectiveness of strategies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Tabling needs materials and equipment!!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Umbrella+Sunscreen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Tabling: Add a tapper or shared spreadsheet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Printed to many handouts. Pass out around the campus.</w:t>
            </w:r>
          </w:p>
        </w:tc>
      </w:tr>
    </w:tbl>
    <w:bookmarkEnd w:id="49"/>
    <w:bookmarkStart w:id="50" w:name="recommendations-to-caids"/>
    <w:p>
      <w:pPr>
        <w:pStyle w:val="Heading2"/>
      </w:pPr>
      <w:r>
        <w:t xml:space="preserve">5.2 2. Recommendations to CAIDS</w:t>
      </w:r>
    </w:p>
    <w:p>
      <w:pPr>
        <w:pStyle w:val="SourceCode"/>
      </w:pPr>
      <w:r>
        <w:rPr>
          <w:rStyle w:val="VerbatimChar"/>
        </w:rPr>
        <w:t xml:space="preserve">- Brainstorming session on what SAC should recommend to CAIDS</w:t>
      </w:r>
      <w:r>
        <w:br/>
      </w:r>
      <w:r>
        <w:rPr>
          <w:rStyle w:val="VerbatimChar"/>
        </w:rPr>
        <w:t xml:space="preserve">- Identifying key areas of focus and priority issues</w:t>
      </w:r>
      <w:r>
        <w:br/>
      </w:r>
      <w:r>
        <w:rPr>
          <w:rStyle w:val="VerbatimChar"/>
        </w:rPr>
        <w:t xml:space="preserve">- Drafting clear and actionable recommendations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Helping students with their assignments that are data related and identifying what is data related.  Expand the peer mentor program.  ·      Undergraduate – peer mentors in the classroom·      Graduate – stats help desk peer mentors (help session – weekly office hours- even if it is just guiding resource).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badging, Mooc, student programs (badging).</w:t>
            </w:r>
          </w:p>
        </w:tc>
      </w:tr>
    </w:tbl>
    <w:bookmarkEnd w:id="50"/>
    <w:bookmarkStart w:id="51" w:name="post-mortem-analysis"/>
    <w:p>
      <w:pPr>
        <w:pStyle w:val="Heading2"/>
      </w:pPr>
      <w:r>
        <w:t xml:space="preserve">5.3 3. Post-Mortem Analysis</w:t>
      </w:r>
    </w:p>
    <w:p>
      <w:pPr>
        <w:pStyle w:val="SourceCode"/>
      </w:pPr>
      <w:r>
        <w:rPr>
          <w:rStyle w:val="VerbatimChar"/>
        </w:rPr>
        <w:t xml:space="preserve">- Evaluation of recent activities and projects</w:t>
      </w:r>
      <w:r>
        <w:br/>
      </w:r>
      <w:r>
        <w:rPr>
          <w:rStyle w:val="VerbatimChar"/>
        </w:rPr>
        <w:t xml:space="preserve">- Identification of strengths, weaknesses, opportunities, and threats</w:t>
      </w:r>
      <w:r>
        <w:br/>
      </w:r>
      <w:r>
        <w:rPr>
          <w:rStyle w:val="VerbatimChar"/>
        </w:rPr>
        <w:t xml:space="preserve">- Recommendations for improvement based on the analysis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First meeting can be dedicated to learning working on Notion and Slack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Getting to know each other!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Activities in the beginning of meetings. Work on team building!!!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 bonding activity with food, one a week meeting?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SAC a data/tech translator?</w:t>
            </w:r>
          </w:p>
        </w:tc>
      </w:tr>
    </w:tbl>
    <w:bookmarkEnd w:id="51"/>
    <w:bookmarkStart w:id="52" w:name="next-years-theme"/>
    <w:p>
      <w:pPr>
        <w:pStyle w:val="Heading2"/>
      </w:pPr>
      <w:r>
        <w:t xml:space="preserve">5.4 4. Next Year’s Theme</w:t>
      </w:r>
    </w:p>
    <w:p>
      <w:pPr>
        <w:pStyle w:val="SourceCode"/>
      </w:pPr>
      <w:r>
        <w:rPr>
          <w:rStyle w:val="VerbatimChar"/>
        </w:rPr>
        <w:t xml:space="preserve">- Reflection on the current year's theme</w:t>
      </w:r>
      <w:r>
        <w:br/>
      </w:r>
      <w:r>
        <w:rPr>
          <w:rStyle w:val="VerbatimChar"/>
        </w:rPr>
        <w:t xml:space="preserve">- Brainstorming session on potential themes for the upcoming year</w:t>
      </w:r>
      <w:r>
        <w:br/>
      </w:r>
      <w:r>
        <w:rPr>
          <w:rStyle w:val="VerbatimChar"/>
        </w:rPr>
        <w:t xml:space="preserve">- Consensus-building on the theme for the next year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Getting involved with data on the side.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can you be a self starter with data?</w:t>
            </w:r>
          </w:p>
        </w:tc>
      </w:tr>
    </w:tbl>
    <w:bookmarkEnd w:id="52"/>
    <w:bookmarkStart w:id="53" w:name="future-projects-and-initiatives"/>
    <w:p>
      <w:pPr>
        <w:pStyle w:val="Heading2"/>
      </w:pPr>
      <w:r>
        <w:t xml:space="preserve">5.5 5. Future Projects and Initiatives</w:t>
      </w:r>
    </w:p>
    <w:p>
      <w:pPr>
        <w:pStyle w:val="SourceCode"/>
      </w:pPr>
      <w:r>
        <w:rPr>
          <w:rStyle w:val="VerbatimChar"/>
        </w:rPr>
        <w:t xml:space="preserve">- Objectives for the next semester</w:t>
      </w:r>
      <w:r>
        <w:br/>
      </w:r>
      <w:r>
        <w:rPr>
          <w:rStyle w:val="VerbatimChar"/>
        </w:rPr>
        <w:t xml:space="preserve">- Planning for new projects and initiatives</w:t>
      </w:r>
      <w:r>
        <w:br/>
      </w:r>
      <w:r>
        <w:rPr>
          <w:rStyle w:val="VerbatimChar"/>
        </w:rPr>
        <w:t xml:space="preserve">- Allocation of responsibilities and resources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Leading Data Week?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 Social Media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Example: What wrong with this chart?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Speaker Series!!!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bigger peer mentor program!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Careers in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 Greydon Piper in FYE to add CAIDS to the their peer mentor scripts.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 Green wave ambassadors to mention CAIDs (Bailey Gabrish)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Existing programs at Tulane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Getting involved with data on the side.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 a resource guide to learn how to use tools on tehe side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certaport, gmatrix, badging</w:t>
            </w:r>
          </w:p>
        </w:tc>
      </w:tr>
    </w:tbl>
    <w:bookmarkEnd w:id="53"/>
    <w:bookmarkStart w:id="54" w:name="potential-actions-for-next-semester"/>
    <w:p>
      <w:pPr>
        <w:pStyle w:val="Heading2"/>
      </w:pPr>
      <w:r>
        <w:t xml:space="preserve">5.6 6. Potential Actions for next semester</w:t>
      </w:r>
    </w:p>
    <w:p>
      <w:pPr>
        <w:pStyle w:val="SourceCode"/>
      </w:pPr>
      <w:r>
        <w:rPr>
          <w:rStyle w:val="VerbatimChar"/>
        </w:rPr>
        <w:t xml:space="preserve">A. Word of Mouth Social Media Campaign  </w:t>
      </w:r>
      <w:r>
        <w:br/>
      </w:r>
      <w:r>
        <w:rPr>
          <w:rStyle w:val="VerbatimChar"/>
        </w:rPr>
        <w:t xml:space="preserve">    - Overview of the proposed campaign</w:t>
      </w:r>
      <w:r>
        <w:br/>
      </w:r>
      <w:r>
        <w:rPr>
          <w:rStyle w:val="VerbatimChar"/>
        </w:rPr>
        <w:t xml:space="preserve">    - Brainstorming session on campaign strategies and tactics</w:t>
      </w:r>
      <w:r>
        <w:br/>
      </w:r>
      <w:r>
        <w:rPr>
          <w:rStyle w:val="VerbatimChar"/>
        </w:rPr>
        <w:t xml:space="preserve">    - Assigning tasks and timelines for campaign implementation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Monthly Tabling Event!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More in-House trainings!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Newsletter!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Leading Data Week?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Become as Student Organization??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Being a student organization would give SAC more power. Can students get paid in a student org?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Create dedicated shifts! We do get paid, so we can create dedicated shift and folks know who’s working on what.</w:t>
            </w:r>
          </w:p>
        </w:tc>
      </w:tr>
    </w:tbl>
    <w:bookmarkEnd w:id="54"/>
    <w:bookmarkStart w:id="55" w:name="next-steps-and-action-items"/>
    <w:p>
      <w:pPr>
        <w:pStyle w:val="Heading2"/>
      </w:pPr>
      <w:r>
        <w:t xml:space="preserve">5.7 7. Next Steps and Action Items</w:t>
      </w:r>
    </w:p>
    <w:p>
      <w:pPr>
        <w:pStyle w:val="SourceCode"/>
      </w:pPr>
      <w:r>
        <w:rPr>
          <w:rStyle w:val="VerbatimChar"/>
        </w:rPr>
        <w:t xml:space="preserve">- Summarize key decisions and action points</w:t>
      </w:r>
      <w:r>
        <w:br/>
      </w:r>
      <w:r>
        <w:rPr>
          <w:rStyle w:val="VerbatimChar"/>
        </w:rPr>
        <w:t xml:space="preserve">- Assigning responsibilities and setting deadlines</w:t>
      </w:r>
      <w:r>
        <w:br/>
      </w:r>
      <w:r>
        <w:rPr>
          <w:rStyle w:val="VerbatimChar"/>
        </w:rPr>
        <w:t xml:space="preserve">- Confirming the date and agenda for the next meeting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Focusing on careers in data!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Tailor data workshops in Excel, R and Python to Freshman and sophomores?</w:t>
            </w:r>
          </w:p>
        </w:tc>
      </w:tr>
    </w:tbl>
    <w:bookmarkEnd w:id="55"/>
    <w:bookmarkEnd w:id="56"/>
    <w:bookmarkStart w:id="57" w:name="next-steps-and-actions-items"/>
    <w:p>
      <w:pPr>
        <w:pStyle w:val="Heading1"/>
      </w:pPr>
      <w:r>
        <w:t xml:space="preserve">6. Next Steps and Actions Items</w:t>
      </w:r>
    </w:p>
    <w:bookmarkEnd w:id="57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lnNumType w:countBy="1" w:distance="288" w:restart="continuous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TeX Gyre Termes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TeX Gyre Termes" w:cs="" w:cstheme="minorBidi" w:eastAsia="Cambria" w:eastAsiaTheme="minorHAnsi" w:hAnsi="TeX Gyre Termes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uiPriority w:val="9"/>
    <w:qFormat/>
    <w:pPr>
      <w:keepNext w:val="true"/>
      <w:keepLines/>
      <w:spacing w:after="0" w:before="480"/>
      <w:outlineLvl w:val="0"/>
    </w:pPr>
    <w:rPr>
      <w:rFonts w:ascii="TeX Gyre Termes" w:cs="" w:cstheme="majorBidi" w:eastAsia="" w:eastAsiaTheme="majorEastAsia" w:hAnsi="TeX Gyre Termes"/>
      <w:b/>
      <w:bCs/>
      <w:color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 w:val="true"/>
      <w:keepLines/>
      <w:spacing w:after="0" w:before="200"/>
      <w:outlineLvl w:val="1"/>
    </w:pPr>
    <w:rPr>
      <w:rFonts w:ascii="TeX Gyre Termes" w:cs="" w:cstheme="majorBidi" w:eastAsia="" w:eastAsiaTheme="majorEastAsia" w:hAnsi="TeX Gyre Termes"/>
      <w:b/>
      <w:bCs/>
      <w:color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 w:val="true"/>
      <w:keepLines/>
      <w:spacing w:after="0" w:before="200"/>
      <w:outlineLvl w:val="2"/>
    </w:pPr>
    <w:rPr>
      <w:rFonts w:ascii="TeX Gyre Termes" w:cs="" w:cstheme="majorBidi" w:eastAsia="" w:eastAsiaTheme="majorEastAsia" w:hAnsi="TeX Gyre Termes"/>
      <w:b/>
      <w:bCs/>
      <w:color w:val="000000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 w:val="true"/>
      <w:keepLines/>
      <w:spacing w:after="0" w:before="200"/>
      <w:outlineLvl w:val="3"/>
    </w:pPr>
    <w:rPr>
      <w:rFonts w:ascii="TeX Gyre Termes" w:cs="" w:cstheme="majorBidi" w:eastAsia="" w:eastAsiaTheme="majorEastAsia" w:hAnsi="TeX Gyre Termes"/>
      <w:bCs/>
      <w:i/>
      <w:color w:val="000000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 w:val="true"/>
      <w:keepLines/>
      <w:spacing w:after="0" w:before="200"/>
      <w:outlineLvl w:val="4"/>
    </w:pPr>
    <w:rPr>
      <w:rFonts w:ascii="TeX Gyre Termes" w:cs="" w:cstheme="majorBidi" w:eastAsia="" w:eastAsiaTheme="majorEastAsia" w:hAnsi="TeX Gyre Termes"/>
      <w:iCs/>
      <w:color w:val="000000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 w:val="true"/>
      <w:keepLines/>
      <w:spacing w:after="0" w:before="200"/>
      <w:outlineLvl w:val="5"/>
    </w:pPr>
    <w:rPr>
      <w:rFonts w:ascii="TeX Gyre Termes" w:cs="" w:cstheme="majorBidi" w:eastAsia="" w:eastAsiaTheme="majorEastAsia" w:hAnsi="TeX Gyre Termes"/>
      <w:color w:val="auto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 w:val="true"/>
      <w:keepLines/>
      <w:spacing w:after="0" w:before="200"/>
      <w:outlineLvl w:val="6"/>
    </w:pPr>
    <w:rPr>
      <w:rFonts w:ascii="TeX Gyre Termes" w:cs="" w:cstheme="majorBidi" w:eastAsia="" w:eastAsiaTheme="majorEastAsia" w:hAnsi="TeX Gyre Termes"/>
      <w:color w:val="auto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 w:val="true"/>
      <w:keepLines/>
      <w:spacing w:after="0" w:before="200"/>
      <w:outlineLvl w:val="7"/>
    </w:pPr>
    <w:rPr>
      <w:rFonts w:ascii="TeX Gyre Termes" w:cs="" w:cstheme="majorBidi" w:eastAsia="" w:eastAsiaTheme="majorEastAsia" w:hAnsi="TeX Gyre Termes"/>
      <w:color w:val="auto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 w:val="true"/>
      <w:keepLines/>
      <w:spacing w:after="0" w:before="200"/>
      <w:outlineLvl w:val="8"/>
    </w:pPr>
    <w:rPr>
      <w:rFonts w:ascii="TeX Gyre Termes" w:cs="" w:cstheme="majorBidi" w:eastAsia="" w:eastAsiaTheme="majorEastAsia" w:hAnsi="TeX Gyre Termes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LineNumber" w:type="character">
    <w:name w:val="Line Number"/>
    <w:rPr/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TeX Gyre Termes" w:cs="Lucida Sans" w:eastAsia="Microsoft YaHei" w:hAnsi="TeX Gyre Terme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 w:line="480" w:lineRule="auto"/>
    </w:pPr>
    <w:rPr>
      <w:rFonts w:ascii="TeX Gyre Termes" w:hAnsi="TeX Gyre Termes"/>
    </w:rPr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rFonts w:ascii="TeX Gyre Termes" w:hAnsi="TeX Gyre Termes"/>
      <w:i w:val="false"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>
      <w:spacing w:line="480" w:lineRule="auto"/>
    </w:pPr>
    <w:rPr>
      <w:rFonts w:ascii="TeX Gyre Termes" w:hAnsi="TeX Gyre Termes"/>
    </w:rPr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qFormat/>
    <w:pPr>
      <w:keepNext w:val="true"/>
      <w:keepLines/>
      <w:spacing w:after="240" w:before="480"/>
      <w:jc w:val="left"/>
    </w:pPr>
    <w:rPr>
      <w:rFonts w:ascii="TeX Gyre Termes" w:cs="" w:cstheme="majorBidi" w:eastAsia="" w:eastAsiaTheme="majorEastAsia" w:hAnsi="TeX Gyre Termes"/>
      <w:b/>
      <w:bCs/>
      <w:color w:val="000000"/>
      <w:sz w:val="36"/>
      <w:szCs w:val="36"/>
    </w:rPr>
  </w:style>
  <w:style w:styleId="Subtitle" w:type="paragraph">
    <w:name w:val="Subtitle"/>
    <w:basedOn w:val="Title"/>
    <w:next w:val="BodyText"/>
    <w:qFormat/>
    <w:pPr>
      <w:keepNext w:val="true"/>
      <w:keepLines/>
      <w:spacing w:after="240" w:before="240"/>
      <w:jc w:val="left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left"/>
    </w:pPr>
    <w:rPr>
      <w:rFonts w:ascii="TeX Gyre Termes" w:cs="" w:cstheme="minorBidi" w:eastAsia="Cambria" w:eastAsiaTheme="minorHAnsi" w:hAnsi="TeX Gyre Termes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left"/>
    </w:pPr>
    <w:rPr>
      <w:rFonts w:ascii="TeX Gyre Termes" w:cs="" w:cstheme="minorBidi" w:eastAsia="Cambria" w:eastAsiaTheme="minorHAnsi" w:hAnsi="TeX Gyre Termes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300"/>
    </w:pPr>
    <w:rPr>
      <w:rFonts w:ascii="TeX Gyre Termes" w:hAnsi="TeX Gyre Termes"/>
      <w:sz w:val="20"/>
      <w:szCs w:val="20"/>
    </w:rPr>
  </w:style>
  <w:style w:styleId="Bibliography" w:type="paragraph">
    <w:name w:val="Bibliography"/>
    <w:basedOn w:val="Normal"/>
    <w:qFormat/>
    <w:pPr/>
    <w:rPr>
      <w:rFonts w:ascii="TeX Gyre Termes" w:hAnsi="TeX Gyre Termes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>
      <w:rFonts w:ascii="TeX Gyre Termes" w:hAnsi="TeX Gyre Termes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rFonts w:ascii="TeX Gyre Termes" w:hAnsi="TeX Gyre Termes"/>
      <w:b/>
    </w:rPr>
  </w:style>
  <w:style w:customStyle="1" w:styleId="Definition" w:type="paragraph">
    <w:name w:val="Definition"/>
    <w:basedOn w:val="Normal"/>
    <w:qFormat/>
    <w:pPr/>
    <w:rPr>
      <w:rFonts w:ascii="TeX Gyre Termes" w:hAnsi="TeX Gyre Termes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>
      <w:rFonts w:ascii="TeX Gyre Termes" w:hAnsi="TeX Gyre Termes"/>
    </w:rPr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>
      <w:rFonts w:ascii="TeX Gyre Termes" w:hAnsi="TeX Gyre Termes"/>
    </w:rPr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styleId="EnvelopeAddress" w:type="paragraph">
    <w:name w:val="Envelope Address"/>
    <w:basedOn w:val="Normal"/>
    <w:pPr>
      <w:suppressLineNumbers/>
      <w:spacing w:after="60" w:before="0"/>
    </w:pPr>
    <w:rPr>
      <w:rFonts w:ascii="TeX Gyre Termes" w:hAnsi="TeX Gyre Termes"/>
    </w:rPr>
  </w:style>
  <w:style w:styleId="BlockQuotation" w:type="paragraph">
    <w:name w:val="Block Quotation"/>
    <w:basedOn w:val="Normal"/>
    <w:qFormat/>
    <w:pPr>
      <w:spacing w:after="283" w:before="0"/>
      <w:ind w:hanging="0" w:left="567" w:right="567"/>
    </w:pPr>
    <w:rPr>
      <w:rFonts w:ascii="TeX Gyre Termes" w:hAnsi="TeX Gyre Termes"/>
    </w:rPr>
  </w:style>
  <w:style w:styleId="Comment" w:type="paragraph">
    <w:name w:val="Comment"/>
    <w:basedOn w:val="Normal"/>
    <w:qFormat/>
    <w:pPr/>
    <w:rPr>
      <w:rFonts w:ascii="TeX Gyre Termes" w:hAnsi="TeX Gyre Termes"/>
      <w:sz w:val="20"/>
      <w:szCs w:val="20"/>
    </w:rPr>
  </w:style>
  <w:style w:styleId="Salutation" w:type="paragraph">
    <w:name w:val="Salutation"/>
    <w:basedOn w:val="Normal"/>
    <w:pPr>
      <w:suppressLineNumbers/>
    </w:pPr>
    <w:rPr>
      <w:rFonts w:ascii="TeX Gyre Termes" w:hAnsi="TeX Gyre Termes"/>
    </w:rPr>
  </w:style>
  <w:style w:styleId="EndnoteText" w:type="paragraph">
    <w:name w:val="Endnote Text"/>
    <w:basedOn w:val="Normal"/>
    <w:pPr>
      <w:suppressLineNumbers/>
      <w:ind w:hanging="340" w:left="340"/>
    </w:pPr>
    <w:rPr>
      <w:rFonts w:ascii="TeX Gyre Termes" w:hAnsi="TeX Gyre Termes"/>
      <w:sz w:val="20"/>
      <w:szCs w:val="20"/>
    </w:rPr>
  </w:style>
  <w:style w:styleId="FrameContents" w:type="paragraph">
    <w:name w:val="Frame Contents"/>
    <w:basedOn w:val="Normal"/>
    <w:qFormat/>
    <w:pPr/>
    <w:rPr>
      <w:rFonts w:ascii="TeX Gyre Termes" w:hAnsi="TeX Gyre Termes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3" Target="https://feminists-teach-online.tulane.edu/" TargetMode="External" /><Relationship Type="http://schemas.openxmlformats.org/officeDocument/2006/relationships/hyperlink" Id="rId21" Target="https://issuu.com/ncidigitalresearchla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feminists-teach-online.tulane.edu/" TargetMode="External" /><Relationship Type="http://schemas.openxmlformats.org/officeDocument/2006/relationships/hyperlink" Id="rId21" Target="https://issuu.com/ncidigitalresearchlab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LibreOffice/24.2.0.3$Linux_X86_64 LibreOffice_project/420$Build-3</Application>
  <AppVersion>15.0000</AppVersion>
  <Pages>2</Pages>
  <Words>53</Words>
  <Characters>281</Characters>
  <CharactersWithSpaces>368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Ambassador Council Program Report</dc:title>
  <dc:creator>Bolívar Aponte Rolón</dc:creator>
  <cp:keywords/>
  <dcterms:created xsi:type="dcterms:W3CDTF">2024-05-03T20:12:20Z</dcterms:created>
  <dcterms:modified xsi:type="dcterms:W3CDTF">2024-05-03T20:12:20Z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itation-package">
    <vt:lpwstr>biblatex</vt:lpwstr>
  </property>
  <property fmtid="{D5CDD505-2E9C-101B-9397-08002B2CF9AE}" pid="6" name="date">
    <vt:lpwstr>2024-05-03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>Spring 2024</vt:lpwstr>
  </property>
  <property fmtid="{D5CDD505-2E9C-101B-9397-08002B2CF9AE}" pid="13" name="toc-title">
    <vt:lpwstr>Table of contents</vt:lpwstr>
  </property>
</Properties>
</file>