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0"/>
      </w:pPr>
      <w:r>
        <w:rPr>
          <w:rFonts w:ascii="Arial" w:cs="Arial" w:eastAsia="Arial" w:hAnsi="Arial"/>
          <w:b/>
          <w:bCs/>
          <w:color w:val="1A1A1A"/>
          <w:sz w:val="52"/>
          <w:szCs w:val="52"/>
        </w:rPr>
        <w:t xml:space="preserve">Steel Pillar 页面通用修改意见</w:t>
      </w:r>
    </w:p>
    <w:p>
      <w:pPr>
        <w:spacing w:after="80" w:before="0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适用范围：5个 Pillar 页面（Stainless / Carbon / Tool &amp; Semi-Stainless / PM / Damascus）</w:t>
      </w:r>
    </w:p>
    <w:p>
      <w:pPr>
        <w:pBdr>
          <w:bottom w:val="single" w:color="E67E22" w:sz="6" w:space="4"/>
        </w:pBdr>
        <w:spacing w:after="400" w:before="0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基于你的修改意见 + 竞对分析 + 上一轮审查结果综合整理</w:t>
      </w:r>
    </w:p>
    <w:p>
      <w:pPr>
        <w:pStyle w:val="Heading1"/>
        <w:pBdr>
          <w:bottom w:val="single" w:color="E67E22" w:sz="6" w:space="4"/>
        </w:pBdr>
        <w:spacing w:after="160" w:before="400"/>
      </w:pPr>
      <w:r>
        <w:rPr>
          <w:rFonts w:ascii="Arial" w:cs="Arial" w:eastAsia="Arial" w:hAnsi="Arial"/>
          <w:b/>
          <w:bCs/>
          <w:color w:val="1A1A1A"/>
          <w:sz w:val="36"/>
          <w:szCs w:val="36"/>
        </w:rPr>
        <w:t xml:space="preserve">一、你的意见逐条判断</w:t>
      </w:r>
    </w:p>
    <w:p>
      <w:pPr>
        <w:spacing w:after="8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以下对你文档中的每条意见逐一评估，标注是否正确、是否需要补充或调整。</w:t>
      </w:r>
    </w:p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400"/>
        <w:gridCol w:w="5160"/>
      </w:tblGrid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你的意见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判断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补充说明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每个钢材加独立深度解析区块，含内链到对应文章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✅ 正确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这是 Pillar 页最核心的缺失。现在只有汇总表，没有每支钢材的独立介绍区块。需要逐一补上，每块约 60–100 词 + 指向 Cluster 文章的内链。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深度解析优先展示四维对比（Edge Retention / Toughness / Corrosion / Ease of Sharpening）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✅ 正确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这是竞对 KnifeInformer、BladeHQ 的核心内容模块。四维评分是读者和 Google 最容易抓取的结构化信息。现有表格缺少这四个维度，必须补。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四维对比用分数或雷达图展示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D3A00"/>
                <w:sz w:val="20"/>
                <w:szCs w:val="20"/>
              </w:rPr>
              <w:t xml:space="preserve">⚠️ 需补充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方向正确，但雷达图在 HTML 里实现成本较高（需要 Canvas 或 SVG），且 AI Overview 无法索引图形数据。建议用进度条（数字 + 可视化条）而不是雷达图，兼顾可读性和 SEO 可抓取性。详见第二章。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生产注意事项等内容不要占太大篇幅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✅ 正确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完全同意。Watch-Outs 和 Factory Insight 是辅助内容，现在比重过大。四维评分是主菜，生产信息是配菜。建议四维评分 + 表格占 60%，生产信息压缩到 20% 以内。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每种钢材下面增加产品链接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✅ 正确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这是转化链路的关键一环。不是加通用产品卡，而是在每支钢材的介绍区块下直接加"用这支钢做的产品"链接。比现在底部的通用产品卡精准得多。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工具/半不锈钢表格信息量少，逻辑模糊，改为四维对比表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✅ 正确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现有表格只有"为什么品牌选它"和"注意事项"，不是结构化的性能维度。改为标准四维表后，同时也是 AI Overview 最容易收录的表格格式。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产品卡片针对性不强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✅ 正确</w:t>
            </w:r>
          </w:p>
        </w:tc>
        <w:tc>
          <w:tcPr>
            <w:tcW w:type="dxa" w:w="5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这是所有 5 个页面的共同问题。现在产品卡是通用占位符。改法：每支钢材的深度介绍区块底部各挂 1–2 个对应产品，比页面底部的通用卡更有上下文。</w:t>
            </w:r>
          </w:p>
        </w:tc>
      </w:tr>
    </w:tbl>
    <w:p>
      <w:pPr>
        <w:spacing w:after="0" w:before="120"/>
      </w:pPr>
    </w:p>
    <w:p>
      <w:pPr>
        <w:pBdr>
          <w:left w:val="single" w:color="E67E22" w:sz="14" w:space="8"/>
        </w:pBdr>
        <w:spacing w:after="80" w:before="80"/>
        <w:ind w:left="360"/>
      </w:pPr>
      <w:r>
        <w:rPr>
          <w:rFonts w:ascii="Arial" w:cs="Arial" w:eastAsia="Arial" w:hAnsi="Arial"/>
          <w:i/>
          <w:iCs/>
          <w:color w:val="7D4E00"/>
          <w:sz w:val="20"/>
          <w:szCs w:val="20"/>
        </w:rPr>
        <w:t xml:space="preserve">总结：你的意见全部正确，没有方向性错误。雷达图那条建议修改实现方式（改为进度条），其余直接执行。</w:t>
      </w:r>
    </w:p>
    <w:p>
      <w:pPr>
        <w:pBdr>
          <w:bottom w:val="single" w:color="EEEEEE" w:sz="4" w:space="1"/>
        </w:pBdr>
        <w:spacing w:after="240" w:before="240"/>
      </w:pPr>
    </w:p>
    <w:p>
      <w:pPr>
        <w:pStyle w:val="Heading1"/>
        <w:pBdr>
          <w:bottom w:val="single" w:color="E67E22" w:sz="6" w:space="4"/>
        </w:pBdr>
        <w:spacing w:after="160" w:before="400"/>
      </w:pPr>
      <w:r>
        <w:rPr>
          <w:rFonts w:ascii="Arial" w:cs="Arial" w:eastAsia="Arial" w:hAnsi="Arial"/>
          <w:b/>
          <w:bCs/>
          <w:color w:val="1A1A1A"/>
          <w:sz w:val="36"/>
          <w:szCs w:val="36"/>
        </w:rPr>
        <w:t xml:space="preserve">二、当前页面核心缺陷（需修改的本质原因）</w:t>
      </w:r>
    </w:p>
    <w:p>
      <w:pPr>
        <w:spacing w:after="8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在执行修改之前，需要先理解为什么这些问题存在——这决定了修改的优先级和深度。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缺陷 1：钢材介绍是"汇总表"而不是"深度解析"</w:t>
      </w:r>
    </w:p>
    <w:p>
      <w:pPr>
        <w:spacing w:after="8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现有页面的钢材信息全部集中在一张表格里，每支钢材只有 1–2 行。这对读者来说是一个目录，不是内容。竞对 KnifeInformer 和 BladeHQ 对每支钢材都有独立段落，包含：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四维性能描述（Edge Retention / Toughness / Corrosion / Ease of Sharpening）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典型 HRC 区间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适用刀具类型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指向该钢材完整评测文章的内链</w:t>
      </w:r>
    </w:p>
    <w:p>
      <w:pPr>
        <w:spacing w:after="8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这些内容是读者真正要找的东西，也是 Google 判断 Pillar 页"权威性"的核心依据。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缺陷 2：四维性能维度完全缺失</w:t>
      </w:r>
    </w:p>
    <w:p>
      <w:pPr>
        <w:spacing w:after="8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行业内对刀具钢材的评估标准已经高度共识化（KnifeInformer、BladeHQ、Knife Steel Nerds 都用同一套维度）：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Edge Retention（锋利度保持）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Toughness（韧性/抗崩口）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Corrosion Resistance（防锈性）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Ease of Sharpening（磨刀难度）</w:t>
      </w:r>
    </w:p>
    <w:p>
      <w:pPr>
        <w:spacing w:after="8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现有表格的列是"为什么品牌选它"和"Watch-Outs"，这是 B2B 视角的内容，对 C 端读者意义不大，对 Google AI Overview 也不友好。四维结构才是行业标准格式。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缺陷 3：产品链接是通用占位符，不是精准关联</w:t>
      </w:r>
    </w:p>
    <w:p>
      <w:pPr>
        <w:spacing w:after="8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底部的 4 张产品卡和页面内的钢材内容没有直接关联。读者看完 D2 钢的介绍，不知道哪些产品用了 D2。应该在每支钢材介绍块的末尾，直接挂对应产品链接。</w:t>
      </w:r>
    </w:p>
    <w:p>
      <w:pPr>
        <w:pBdr>
          <w:bottom w:val="single" w:color="EEEEEE" w:sz="4" w:space="1"/>
        </w:pBdr>
        <w:spacing w:after="240" w:before="240"/>
      </w:pPr>
    </w:p>
    <w:p>
      <w:pPr>
        <w:pStyle w:val="Heading1"/>
        <w:pBdr>
          <w:bottom w:val="single" w:color="E67E22" w:sz="6" w:space="4"/>
        </w:pBdr>
        <w:spacing w:after="160" w:before="400"/>
      </w:pPr>
      <w:r>
        <w:rPr>
          <w:rFonts w:ascii="Arial" w:cs="Arial" w:eastAsia="Arial" w:hAnsi="Arial"/>
          <w:b/>
          <w:bCs/>
          <w:color w:val="1A1A1A"/>
          <w:sz w:val="36"/>
          <w:szCs w:val="36"/>
        </w:rPr>
        <w:t xml:space="preserve">三、四维性能对比：展示方案选择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方案对比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2200"/>
        <w:gridCol w:w="3160"/>
      </w:tblGrid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方案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SEO 可抓取性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实现成本</w:t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建议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雷达图（SVG/Canvas）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低 — 图形数据 Google 无法索引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高 — 需要 JS 渲染</w:t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F0000"/>
                <w:sz w:val="19"/>
                <w:szCs w:val="19"/>
              </w:rPr>
              <w:t xml:space="preserve">❌ 不推荐作为主要形式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进度条 + 数字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高 — HTML 文本可被索引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低 — 纯 CSS</w:t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✅ 推荐，主要形式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数字评分表（1–10）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高 — 表格数据可被索引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低</w:t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19"/>
                <w:szCs w:val="19"/>
              </w:rPr>
              <w:t xml:space="preserve">✅ 推荐，与进度条并用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纯文字描述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中 — 可被索引但结构弱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无</w:t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D3A00"/>
                <w:sz w:val="19"/>
                <w:szCs w:val="19"/>
              </w:rPr>
              <w:t xml:space="preserve">⚠️ 可作为补充，不能作为主要形式</w:t>
            </w:r>
          </w:p>
        </w:tc>
      </w:tr>
    </w:tbl>
    <w:p>
      <w:pPr>
        <w:spacing w:after="0" w:before="12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推荐实现方式：进度条 + 评分数字（双层展示）</w:t>
      </w:r>
    </w:p>
    <w:p>
      <w:pPr>
        <w:spacing w:after="8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每个维度展示两个信息：一个 1–10 的数字评分（让 AI 可索引），一个视觉进度条（让读者快速对比）。格式如下：</w:t>
      </w:r>
    </w:p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200"/>
        <w:gridCol w:w="6160"/>
      </w:tblGrid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3333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维度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3333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评分（/10）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3333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说明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Edge Retention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7/10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◼◼◼◼◼◼◼░░░  保持较好，不需频繁磨刀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Toughness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5/10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◼◼◼◼◼░░░░░  中等韧性，细薄刃需注意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Corrosion Resistance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8/10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◼◼◼◼◼◼◼◼░░  防锈性强，适合厨房环境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Ease of Sharpening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8/10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◼◼◼◼◼◼◼◼░░  磨刀友好，适合普通用户</w:t>
            </w:r>
          </w:p>
        </w:tc>
      </w:tr>
    </w:tbl>
    <w:p>
      <w:pPr>
        <w:spacing w:after="0" w:before="120"/>
      </w:pPr>
    </w:p>
    <w:p>
      <w:pPr>
        <w:pBdr>
          <w:left w:val="single" w:color="E67E22" w:sz="14" w:space="8"/>
        </w:pBdr>
        <w:spacing w:after="80" w:before="80"/>
        <w:ind w:left="360"/>
      </w:pPr>
      <w:r>
        <w:rPr>
          <w:rFonts w:ascii="Arial" w:cs="Arial" w:eastAsia="Arial" w:hAnsi="Arial"/>
          <w:i/>
          <w:iCs/>
          <w:color w:val="7D4E00"/>
          <w:sz w:val="20"/>
          <w:szCs w:val="20"/>
        </w:rPr>
        <w:t xml:space="preserve">开发说明：◼ 用实心 div 宽度（CSS width: 70%）实现，数字评分写在 HTML 文本节点里保证可被 Google 抓取。不要用 Canvas 渲染。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各 Pillar 钢材四维数据参考</w:t>
      </w:r>
    </w:p>
    <w:p>
      <w:pPr>
        <w:spacing w:after="8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以下是各家族主要钢材的四维评分参考（1-10分，基于行业共识数据，程序员开发时以内容团队最终校对数据为准）：</w:t>
      </w:r>
    </w:p>
    <w:p>
      <w:pPr>
        <w:spacing w:after="0" w:before="120"/>
      </w:pPr>
    </w:p>
    <w:p>
      <w:pPr>
        <w:spacing w:after="8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Stainless Steels：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300"/>
        <w:gridCol w:w="1300"/>
        <w:gridCol w:w="1300"/>
        <w:gridCol w:w="1300"/>
        <w:gridCol w:w="1300"/>
        <w:gridCol w:w="1460"/>
      </w:tblGrid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Steel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Edge Retention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Toughness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Corrosion Resist.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Ease of Sharpening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HRC Range</w:t>
            </w:r>
          </w:p>
        </w:tc>
        <w:tc>
          <w:tcPr>
            <w:tcW w:type="dxa" w:w="1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Best For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3Cr13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3/10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8/10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8/10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10/10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52–54</w:t>
            </w:r>
          </w:p>
        </w:tc>
        <w:tc>
          <w:tcPr>
            <w:tcW w:type="dxa" w:w="1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走量/促销刀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5Cr15MoV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4/10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7/10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8/10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9/10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54–56</w:t>
            </w:r>
          </w:p>
        </w:tc>
        <w:tc>
          <w:tcPr>
            <w:tcW w:type="dxa" w:w="1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大众厨刀OEM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8Cr13MoV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5/10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7/10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7/10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8/10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56–58</w:t>
            </w:r>
          </w:p>
        </w:tc>
        <w:tc>
          <w:tcPr>
            <w:tcW w:type="dxa" w:w="1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OEM主力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AUS-8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6/10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7/10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7/10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8/10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57–59</w:t>
            </w:r>
          </w:p>
        </w:tc>
        <w:tc>
          <w:tcPr>
            <w:tcW w:type="dxa" w:w="1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中端厨刀/EDC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14C28N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6/10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7/10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8/10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8/10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58–62</w:t>
            </w:r>
          </w:p>
        </w:tc>
        <w:tc>
          <w:tcPr>
            <w:tcW w:type="dxa" w:w="1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中端厨刀/EDC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VG-10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7/10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5/10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7/10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6/10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60–62</w:t>
            </w:r>
          </w:p>
        </w:tc>
        <w:tc>
          <w:tcPr>
            <w:tcW w:type="dxa" w:w="1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中高端日式厨刀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N690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6/10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6/10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8/10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7/10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58–61</w:t>
            </w:r>
          </w:p>
        </w:tc>
        <w:tc>
          <w:tcPr>
            <w:tcW w:type="dxa" w:w="1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中端战术/户外</w:t>
            </w:r>
          </w:p>
        </w:tc>
      </w:tr>
    </w:tbl>
    <w:p>
      <w:pPr>
        <w:spacing w:after="0" w:before="120"/>
      </w:pPr>
    </w:p>
    <w:p>
      <w:pPr>
        <w:spacing w:after="8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Carbon Steels：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300"/>
        <w:gridCol w:w="1300"/>
        <w:gridCol w:w="1300"/>
        <w:gridCol w:w="1300"/>
        <w:gridCol w:w="1300"/>
        <w:gridCol w:w="1460"/>
      </w:tblGrid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Steel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Edge Retention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Toughness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Corrosion Resist.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Ease of Sharpening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HRC Range</w:t>
            </w:r>
          </w:p>
        </w:tc>
        <w:tc>
          <w:tcPr>
            <w:tcW w:type="dxa" w:w="1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Best For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1095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5/10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8/10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2/10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9/10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56–60</w:t>
            </w:r>
          </w:p>
        </w:tc>
        <w:tc>
          <w:tcPr>
            <w:tcW w:type="dxa" w:w="1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传统/户外刀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1084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5/10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8/10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2/10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9/10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58–61</w:t>
            </w:r>
          </w:p>
        </w:tc>
        <w:tc>
          <w:tcPr>
            <w:tcW w:type="dxa" w:w="1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手工锻造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52100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7/10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7/10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2/10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7/10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60–62</w:t>
            </w:r>
          </w:p>
        </w:tc>
        <w:tc>
          <w:tcPr>
            <w:tcW w:type="dxa" w:w="1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高端碳钢厨刀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W2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6/10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8/10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1/10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8/10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58–61</w:t>
            </w:r>
          </w:p>
        </w:tc>
        <w:tc>
          <w:tcPr>
            <w:tcW w:type="dxa" w:w="1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匠人/传统刀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白纸 #1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6/10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7/10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1/10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8/10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62–65</w:t>
            </w:r>
          </w:p>
        </w:tc>
        <w:tc>
          <w:tcPr>
            <w:tcW w:type="dxa" w:w="1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日式高碳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青纸 #2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7/10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6/10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1/10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7/10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62–65</w:t>
            </w:r>
          </w:p>
        </w:tc>
        <w:tc>
          <w:tcPr>
            <w:tcW w:type="dxa" w:w="1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日式高碳</w:t>
            </w:r>
          </w:p>
        </w:tc>
      </w:tr>
    </w:tbl>
    <w:p>
      <w:pPr>
        <w:spacing w:after="0" w:before="120"/>
      </w:pPr>
    </w:p>
    <w:p>
      <w:pPr>
        <w:spacing w:after="8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Semi-Stainless &amp; Tool Steels：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300"/>
        <w:gridCol w:w="1300"/>
        <w:gridCol w:w="1300"/>
        <w:gridCol w:w="1300"/>
        <w:gridCol w:w="1300"/>
        <w:gridCol w:w="1460"/>
      </w:tblGrid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Steel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Edge Retention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Toughness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Corrosion Resist.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Ease of Sharpening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HRC Range</w:t>
            </w:r>
          </w:p>
        </w:tc>
        <w:tc>
          <w:tcPr>
            <w:tcW w:type="dxa" w:w="1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Best For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D2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8/10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5/10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5/10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4/10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58–62</w:t>
            </w:r>
          </w:p>
        </w:tc>
        <w:tc>
          <w:tcPr>
            <w:tcW w:type="dxa" w:w="1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EDC/工具刀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K110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8/10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5/10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5/10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4/10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58–62</w:t>
            </w:r>
          </w:p>
        </w:tc>
        <w:tc>
          <w:tcPr>
            <w:tcW w:type="dxa" w:w="1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EDC（D2欧洲同族）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A2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7/10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7/10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4/10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5/10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57–61</w:t>
            </w:r>
          </w:p>
        </w:tc>
        <w:tc>
          <w:tcPr>
            <w:tcW w:type="dxa" w:w="1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猎刀/户外刀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CPM Cru-Wear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9/10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6/10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4/10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3/10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60–65</w:t>
            </w:r>
          </w:p>
        </w:tc>
        <w:tc>
          <w:tcPr>
            <w:tcW w:type="dxa" w:w="1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高端工具刀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K390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9/10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5/10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4/10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3/10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62–65</w:t>
            </w:r>
          </w:p>
        </w:tc>
        <w:tc>
          <w:tcPr>
            <w:tcW w:type="dxa" w:w="1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超高磨损场景</w:t>
            </w:r>
          </w:p>
        </w:tc>
      </w:tr>
    </w:tbl>
    <w:p>
      <w:pPr>
        <w:spacing w:after="0" w:before="120"/>
      </w:pPr>
    </w:p>
    <w:p>
      <w:pPr>
        <w:spacing w:after="8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Powder Metallurgy Steels：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300"/>
        <w:gridCol w:w="1300"/>
        <w:gridCol w:w="1300"/>
        <w:gridCol w:w="1300"/>
        <w:gridCol w:w="1300"/>
        <w:gridCol w:w="1460"/>
      </w:tblGrid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Steel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Edge Retention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Toughness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Corrosion Resist.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Ease of Sharpening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HRC Range</w:t>
            </w:r>
          </w:p>
        </w:tc>
        <w:tc>
          <w:tcPr>
            <w:tcW w:type="dxa" w:w="1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Best For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S35VN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8/10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7/10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7/10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5/10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60–62</w:t>
            </w:r>
          </w:p>
        </w:tc>
        <w:tc>
          <w:tcPr>
            <w:tcW w:type="dxa" w:w="1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平衡型高端PM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S45VN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8/10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7/10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8/10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5/10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60–62</w:t>
            </w:r>
          </w:p>
        </w:tc>
        <w:tc>
          <w:tcPr>
            <w:tcW w:type="dxa" w:w="1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S35VN升级版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M390/20CV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9/10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6/10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8/10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3/10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60–62</w:t>
            </w:r>
          </w:p>
        </w:tc>
        <w:tc>
          <w:tcPr>
            <w:tcW w:type="dxa" w:w="1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旗舰留刃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MagnaCut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8/10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8/10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9/10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4/10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60–63</w:t>
            </w:r>
          </w:p>
        </w:tc>
        <w:tc>
          <w:tcPr>
            <w:tcW w:type="dxa" w:w="1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新一代全能PM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SG2/R2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9/10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5/10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7/10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3/10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63–65</w:t>
            </w:r>
          </w:p>
        </w:tc>
        <w:tc>
          <w:tcPr>
            <w:tcW w:type="dxa" w:w="1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日式高端PM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ZDP-189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10/10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4/10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6/10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2/10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66–68</w:t>
            </w:r>
          </w:p>
        </w:tc>
        <w:tc>
          <w:tcPr>
            <w:tcW w:type="dxa" w:w="1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极端留刃/展示用</w:t>
            </w:r>
          </w:p>
        </w:tc>
      </w:tr>
    </w:tbl>
    <w:p>
      <w:pPr>
        <w:spacing w:after="0" w:before="120"/>
      </w:pPr>
    </w:p>
    <w:p>
      <w:pPr>
        <w:pBdr>
          <w:left w:val="single" w:color="E67E22" w:sz="14" w:space="8"/>
        </w:pBdr>
        <w:spacing w:after="80" w:before="80"/>
        <w:ind w:left="360"/>
      </w:pPr>
      <w:r>
        <w:rPr>
          <w:rFonts w:ascii="Arial" w:cs="Arial" w:eastAsia="Arial" w:hAnsi="Arial"/>
          <w:i/>
          <w:iCs/>
          <w:color w:val="7D4E00"/>
          <w:sz w:val="20"/>
          <w:szCs w:val="20"/>
        </w:rPr>
        <w:t xml:space="preserve">数据来源：参考 KnifeInformer、BladeHQ、Knife Steel Nerds（Dr. Larrin Thomas）的公开评级，结合 Leeknives 生产经验校准。最终上线数据请由内容/产品团队核实后定稿。</w:t>
      </w:r>
    </w:p>
    <w:p>
      <w:pPr>
        <w:pBdr>
          <w:bottom w:val="single" w:color="EEEEEE" w:sz="4" w:space="1"/>
        </w:pBdr>
        <w:spacing w:after="240" w:before="240"/>
      </w:pPr>
    </w:p>
    <w:p>
      <w:pPr>
        <w:pStyle w:val="Heading1"/>
        <w:pBdr>
          <w:bottom w:val="single" w:color="E67E22" w:sz="6" w:space="4"/>
        </w:pBdr>
        <w:spacing w:after="160" w:before="400"/>
      </w:pPr>
      <w:r>
        <w:rPr>
          <w:rFonts w:ascii="Arial" w:cs="Arial" w:eastAsia="Arial" w:hAnsi="Arial"/>
          <w:b/>
          <w:bCs/>
          <w:color w:val="1A1A1A"/>
          <w:sz w:val="36"/>
          <w:szCs w:val="36"/>
        </w:rPr>
        <w:t xml:space="preserve">四、每支钢材的深度解析区块结构</w:t>
      </w:r>
    </w:p>
    <w:p>
      <w:pPr>
        <w:spacing w:after="8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这是 5 个 Pillar 页面都需要补充的核心模块。每支钢材对应一个独立的 HTML 区块，结构如下：</w:t>
      </w:r>
    </w:p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元素</w:t>
            </w:r>
          </w:p>
        </w:tc>
        <w:tc>
          <w:tcPr>
            <w:tcW w:type="dxa" w:w="7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内容要求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钢材名 + 定位标签</w:t>
            </w:r>
          </w:p>
        </w:tc>
        <w:tc>
          <w:tcPr>
            <w:tcW w:type="dxa" w:w="7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如"8Cr13MoV" + chip标签：Budget / Mid / High-end，颜色区分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1句定位描述</w:t>
            </w:r>
          </w:p>
        </w:tc>
        <w:tc>
          <w:tcPr>
            <w:tcW w:type="dxa" w:w="7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20–30词，说明这支钢在这个家族里的位置和核心价值。例："OEM出口量最大的中端不锈钢，性价比高，热处理窗口宽容。"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四维进度条 + 评分</w:t>
            </w:r>
          </w:p>
        </w:tc>
        <w:tc>
          <w:tcPr>
            <w:tcW w:type="dxa" w:w="7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4行，每行：维度名 + 数字评分（/10）+ 进度条。HTML文本节点包含数字，保证SEO可索引。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适用场景 chips</w:t>
            </w:r>
          </w:p>
        </w:tc>
        <w:tc>
          <w:tcPr>
            <w:tcW w:type="dxa" w:w="7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2–4个小标签：如 Kitchen / EDC / Budget / Export Volume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1–2句内容团队文字</w:t>
            </w:r>
          </w:p>
        </w:tc>
        <w:tc>
          <w:tcPr>
            <w:tcW w:type="dxa" w:w="7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可选。补充这支钢最值得关注的1个特点，或1个常见误区。控制在2句以内。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内链按钮</w:t>
            </w:r>
          </w:p>
        </w:tc>
        <w:tc>
          <w:tcPr>
            <w:tcW w:type="dxa" w:w="7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"Read full review →"  链接到对应 Cluster 文章。这是 Pillar 页的核心 SEO 任务之一。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产品链接（可选）</w:t>
            </w:r>
          </w:p>
        </w:tc>
        <w:tc>
          <w:tcPr>
            <w:tcW w:type="dxa" w:w="7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"See knives in this steel →"  链接到产品页面。如果暂无对应产品页，可先省略，后期补充。</w:t>
            </w:r>
          </w:p>
        </w:tc>
      </w:tr>
    </w:tbl>
    <w:p>
      <w:pPr>
        <w:spacing w:after="0" w:before="120"/>
      </w:pPr>
    </w:p>
    <w:p>
      <w:pPr>
        <w:pBdr>
          <w:left w:val="single" w:color="E67E22" w:sz="14" w:space="8"/>
        </w:pBdr>
        <w:spacing w:after="80" w:before="80"/>
        <w:ind w:left="360"/>
      </w:pPr>
      <w:r>
        <w:rPr>
          <w:rFonts w:ascii="Arial" w:cs="Arial" w:eastAsia="Arial" w:hAnsi="Arial"/>
          <w:i/>
          <w:iCs/>
          <w:color w:val="7D4E00"/>
          <w:sz w:val="20"/>
          <w:szCs w:val="20"/>
        </w:rPr>
        <w:t xml:space="preserve">每个区块总高度控制在 200–300px 之间（视觉上），不要比现有的汇总表占更多空间。紧凑、信息密度高比铺开更好。</w:t>
      </w:r>
    </w:p>
    <w:p>
      <w:pPr>
        <w:pBdr>
          <w:bottom w:val="single" w:color="EEEEEE" w:sz="4" w:space="1"/>
        </w:pBdr>
        <w:spacing w:after="240" w:before="240"/>
      </w:pPr>
    </w:p>
    <w:p>
      <w:pPr>
        <w:pStyle w:val="Heading1"/>
        <w:pBdr>
          <w:bottom w:val="single" w:color="E67E22" w:sz="6" w:space="4"/>
        </w:pBdr>
        <w:spacing w:after="160" w:before="400"/>
      </w:pPr>
      <w:r>
        <w:rPr>
          <w:rFonts w:ascii="Arial" w:cs="Arial" w:eastAsia="Arial" w:hAnsi="Arial"/>
          <w:b/>
          <w:bCs/>
          <w:color w:val="1A1A1A"/>
          <w:sz w:val="36"/>
          <w:szCs w:val="36"/>
        </w:rPr>
        <w:t xml:space="preserve">五、现有汇总表改造方案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现有问题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列名逻辑模糊：现在是 "Steel / Typical HRC / Why brands use it / Watch-outs"，这是 B2B 视角，不是读者的问题框架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缺少读者最关心的四个维度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Watch-outs 混入了内容，和深度解析区块重复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改造后的汇总表列结构</w:t>
      </w:r>
    </w:p>
    <w:p>
      <w:pPr>
        <w:spacing w:after="8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保留汇总表作为"快速扫描"入口，但列改为读者友好的性能维度：</w:t>
      </w:r>
    </w:p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300"/>
        <w:gridCol w:w="1300"/>
        <w:gridCol w:w="1300"/>
        <w:gridCol w:w="1300"/>
        <w:gridCol w:w="1300"/>
        <w:gridCol w:w="1460"/>
      </w:tblGrid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Steel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Edge Retention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Toughness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Corrosion Resist.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Ease of Sharpening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HRC Range</w:t>
            </w:r>
          </w:p>
        </w:tc>
        <w:tc>
          <w:tcPr>
            <w:tcW w:type="dxa" w:w="1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Best For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（Steel）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（1–10）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（1–10）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（1–10）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（1–10）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（HRC）</w:t>
            </w:r>
          </w:p>
        </w:tc>
        <w:tc>
          <w:tcPr>
            <w:tcW w:type="dxa" w:w="1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（Use Case）</w:t>
            </w:r>
          </w:p>
        </w:tc>
      </w:tr>
    </w:tbl>
    <w:p>
      <w:pPr>
        <w:spacing w:after="0" w:before="120"/>
      </w:pPr>
    </w:p>
    <w:p>
      <w:pPr>
        <w:spacing w:after="8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此表作为页面顶部的总览，下方再展示每支钢材的深度解析区块。两者分工明确：表格 = 快速对比，深度区块 = 深入了解 + 转化。</w:t>
      </w:r>
    </w:p>
    <w:p>
      <w:pPr>
        <w:pBdr>
          <w:left w:val="single" w:color="E67E22" w:sz="14" w:space="8"/>
        </w:pBdr>
        <w:spacing w:after="80" w:before="80"/>
        <w:ind w:left="360"/>
      </w:pPr>
      <w:r>
        <w:rPr>
          <w:rFonts w:ascii="Arial" w:cs="Arial" w:eastAsia="Arial" w:hAnsi="Arial"/>
          <w:i/>
          <w:iCs/>
          <w:color w:val="7D4E00"/>
          <w:sz w:val="20"/>
          <w:szCs w:val="20"/>
        </w:rPr>
        <w:t xml:space="preserve">SEO说明：AI Overview 偏好抓取有明确列标题的 HTML 表格（&lt;table&gt;&lt;thead&gt;&lt;th&gt;），尤其是列标题包含"edge retention / toughness / corrosion resistance / ease of sharpening"这类标准词汇时，被收录为结构化片段的概率显著提高。</w:t>
      </w:r>
    </w:p>
    <w:p>
      <w:pPr>
        <w:pBdr>
          <w:bottom w:val="single" w:color="EEEEEE" w:sz="4" w:space="1"/>
        </w:pBdr>
        <w:spacing w:after="240" w:before="240"/>
      </w:pPr>
    </w:p>
    <w:p>
      <w:pPr>
        <w:pStyle w:val="Heading1"/>
        <w:pBdr>
          <w:bottom w:val="single" w:color="E67E22" w:sz="6" w:space="4"/>
        </w:pBdr>
        <w:spacing w:after="160" w:before="400"/>
      </w:pPr>
      <w:r>
        <w:rPr>
          <w:rFonts w:ascii="Arial" w:cs="Arial" w:eastAsia="Arial" w:hAnsi="Arial"/>
          <w:b/>
          <w:bCs/>
          <w:color w:val="1A1A1A"/>
          <w:sz w:val="36"/>
          <w:szCs w:val="36"/>
        </w:rPr>
        <w:t xml:space="preserve">六、产品卡改造方案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当前问题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所有页面的产品卡都是通用占位图 + 通用文案，和钢材内容没有直接关联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CTA 全部是同一句话（"Request cost sheet" 或 "Discuss MOQ"）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底部集中展示 4 张卡，读者看完 VG-10 介绍后不知道哪些产品用了 VG-10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改造方案：钢材级产品关联</w:t>
      </w:r>
    </w:p>
    <w:p>
      <w:pPr>
        <w:spacing w:after="8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产品卡从"页面底部集中展示"改为"每支钢材深度区块内嵌关联"：</w:t>
      </w:r>
    </w:p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位置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内容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每支钢材区块底部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挂 1–2 个使用该钢材的产品缩略图 + 名称 + 规格 + "View product →" 链接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页面底部（保留）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缩减为 2–3 张代表产品，作为整个 Pillar 的兜底展示，不再是 4 张通用卡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CTA 文案差异化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根据钢材定位调整：Budget 钢用 "Discuss MOQ →"，高端钢用 "Request sample →"，PM 钢用 "Get spec sheet →"</w:t>
            </w:r>
          </w:p>
        </w:tc>
      </w:tr>
    </w:tbl>
    <w:p>
      <w:pPr>
        <w:spacing w:after="0" w:before="120"/>
      </w:pPr>
    </w:p>
    <w:p>
      <w:pPr>
        <w:pBdr>
          <w:left w:val="single" w:color="E67E22" w:sz="14" w:space="8"/>
        </w:pBdr>
        <w:spacing w:after="80" w:before="80"/>
        <w:ind w:left="360"/>
      </w:pPr>
      <w:r>
        <w:rPr>
          <w:rFonts w:ascii="Arial" w:cs="Arial" w:eastAsia="Arial" w:hAnsi="Arial"/>
          <w:i/>
          <w:iCs/>
          <w:color w:val="7D4E00"/>
          <w:sz w:val="20"/>
          <w:szCs w:val="20"/>
        </w:rPr>
        <w:t xml:space="preserve">如果暂时没有对应产品页面，产品关联可以先指向询盘表单（contact page），加上参数如"?steel=8cr13mov"方便追踪来源。</w:t>
      </w:r>
    </w:p>
    <w:p>
      <w:pPr>
        <w:pBdr>
          <w:bottom w:val="single" w:color="EEEEEE" w:sz="4" w:space="1"/>
        </w:pBdr>
        <w:spacing w:after="240" w:before="240"/>
      </w:pPr>
    </w:p>
    <w:p>
      <w:pPr>
        <w:pStyle w:val="Heading1"/>
        <w:pBdr>
          <w:bottom w:val="single" w:color="E67E22" w:sz="6" w:space="4"/>
        </w:pBdr>
        <w:spacing w:after="160" w:before="400"/>
      </w:pPr>
      <w:r>
        <w:rPr>
          <w:rFonts w:ascii="Arial" w:cs="Arial" w:eastAsia="Arial" w:hAnsi="Arial"/>
          <w:b/>
          <w:bCs/>
          <w:color w:val="1A1A1A"/>
          <w:sz w:val="36"/>
          <w:szCs w:val="36"/>
        </w:rPr>
        <w:t xml:space="preserve">七、Damascus 页面特殊说明</w:t>
      </w:r>
    </w:p>
    <w:p>
      <w:pPr>
        <w:spacing w:after="8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Damascus 页和其他 4 个页面有一个根本差异：它是形态/构造分类，不是冶金成分分类。这个差异需要在内容上明确体现，也影响四维评分的呈现方式。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四维评分的特殊处理</w:t>
      </w:r>
    </w:p>
    <w:p>
      <w:pPr>
        <w:spacing w:after="8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Damascus 页不应该对"Damascus"本身打四维评分，因为 Damascus 的性能取决于芯钢。正确做法是：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按芯钢类型展示评分：VG-10 芯 Damascus / SG2 芯 Damascus / 1095 芯 Pattern Welded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在每行评分旁注明："Performance depends on core steel — see [VG-10 review →]"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保留现有的"Damascus is / is not"两列对比，这个做得好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补充"Construction Category"说明</w:t>
      </w:r>
    </w:p>
    <w:p>
      <w:pPr>
        <w:spacing w:after="8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在 Hero 区域或 intro 段补充一句说明，解释为什么 Damascus 的 kicker 是"Construction Category"而不是"Metallurgical Family"：</w:t>
      </w:r>
    </w:p>
    <w:p>
      <w:pPr>
        <w:pBdr>
          <w:left w:val="single" w:color="E67E22" w:sz="14" w:space="8"/>
        </w:pBdr>
        <w:spacing w:after="80" w:before="80"/>
        <w:ind w:left="360"/>
      </w:pPr>
      <w:r>
        <w:rPr>
          <w:rFonts w:ascii="Arial" w:cs="Arial" w:eastAsia="Arial" w:hAnsi="Arial"/>
          <w:i/>
          <w:iCs/>
          <w:color w:val="7D4E00"/>
          <w:sz w:val="20"/>
          <w:szCs w:val="20"/>
        </w:rPr>
        <w:t xml:space="preserve">"Unlike the other steel families in this hub — which are defined by composition — Damascus and layered steels are a construction and visual category. Performance still depends on the core steel and heat treatment."</w:t>
      </w:r>
    </w:p>
    <w:p>
      <w:pPr>
        <w:pBdr>
          <w:bottom w:val="single" w:color="EEEEEE" w:sz="4" w:space="1"/>
        </w:pBdr>
        <w:spacing w:after="240" w:before="240"/>
      </w:pPr>
    </w:p>
    <w:p>
      <w:pPr>
        <w:pStyle w:val="Heading1"/>
        <w:pBdr>
          <w:bottom w:val="single" w:color="E67E22" w:sz="6" w:space="4"/>
        </w:pBdr>
        <w:spacing w:after="160" w:before="400"/>
      </w:pPr>
      <w:r>
        <w:rPr>
          <w:rFonts w:ascii="Arial" w:cs="Arial" w:eastAsia="Arial" w:hAnsi="Arial"/>
          <w:b/>
          <w:bCs/>
          <w:color w:val="1A1A1A"/>
          <w:sz w:val="36"/>
          <w:szCs w:val="36"/>
        </w:rPr>
        <w:t xml:space="preserve">八、内容篇幅与模块比重建议</w:t>
      </w:r>
    </w:p>
    <w:p>
      <w:pPr>
        <w:spacing w:after="8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你提到"生产注意事项等内容不要占太大篇幅"，这是正确的。建议各模块的篇幅比重如下：</w:t>
      </w:r>
    </w:p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600"/>
        <w:gridCol w:w="4560"/>
      </w:tblGrid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模块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建议比重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说明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钢材汇总表（四维版）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19"/>
                <w:szCs w:val="19"/>
              </w:rPr>
              <w:t xml:space="preserve">15%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快速扫描入口，不需要大量文字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各钢材深度解析区块（含四维进度条 + 内链）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19"/>
                <w:szCs w:val="19"/>
              </w:rPr>
              <w:t xml:space="preserve">50%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核心内容，读者停留时间最长的区域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如何选钢（How to Choose）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19"/>
                <w:szCs w:val="19"/>
              </w:rPr>
              <w:t xml:space="preserve">15%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决策导向，帮买手快速定位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Factory Insight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19"/>
                <w:szCs w:val="19"/>
              </w:rPr>
              <w:t xml:space="preserve">10%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压缩为 2–3 条具体数据，不要大段文字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FAQ + Continue Learning + CTA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19"/>
                <w:szCs w:val="19"/>
              </w:rPr>
              <w:t xml:space="preserve">10%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保留，不需要扩充</w:t>
            </w:r>
          </w:p>
        </w:tc>
      </w:tr>
    </w:tbl>
    <w:p>
      <w:pPr>
        <w:pBdr>
          <w:bottom w:val="single" w:color="EEEEEE" w:sz="4" w:space="1"/>
        </w:pBdr>
        <w:spacing w:after="240" w:before="240"/>
      </w:pPr>
    </w:p>
    <w:p>
      <w:pPr>
        <w:pStyle w:val="Heading1"/>
        <w:pBdr>
          <w:bottom w:val="single" w:color="E67E22" w:sz="6" w:space="4"/>
        </w:pBdr>
        <w:spacing w:after="160" w:before="400"/>
      </w:pPr>
      <w:r>
        <w:rPr>
          <w:rFonts w:ascii="Arial" w:cs="Arial" w:eastAsia="Arial" w:hAnsi="Arial"/>
          <w:b/>
          <w:bCs/>
          <w:color w:val="1A1A1A"/>
          <w:sz w:val="36"/>
          <w:szCs w:val="36"/>
        </w:rPr>
        <w:t xml:space="preserve">九、开篇内容结构重组（所有 Pillar 通用）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当前问题：四块内容在重复同一件事</w:t>
      </w:r>
    </w:p>
    <w:p>
      <w:pPr>
        <w:spacing w:after="8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现有每个 Pillar 页开篇的结构如下，以 Tool/Semi-Stainless 为例：</w:t>
      </w:r>
    </w:p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000"/>
        <w:gridCol w:w="3960"/>
      </w:tblGrid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当前模块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实际内容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问题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Key Takeaway / At a Glance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"Tool steels are strong wear-value options between carbon and stainless…"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F0000"/>
                <w:sz w:val="19"/>
                <w:szCs w:val="19"/>
              </w:rPr>
              <w:t xml:space="preserve">通用描述，和下面三块高度重复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narrative-content 段落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"Semi-stainless became popular because they give retention upgrade at manageable cost…"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F0000"/>
                <w:sz w:val="19"/>
                <w:szCs w:val="19"/>
              </w:rPr>
              <w:t xml:space="preserve">同样是通用描述，换了说法重复了一遍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H2: Why Tool/Semi-Stainless Matters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4个 metric cards + 2段解释文字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F0000"/>
                <w:sz w:val="19"/>
                <w:szCs w:val="19"/>
              </w:rPr>
              <w:t xml:space="preserve">"为什么重要"是说教式标题，读者已经在这个页面了，不需要被说服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H2: When is the Right Call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两列 best-fit / trade-offs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F0000"/>
                <w:sz w:val="19"/>
                <w:szCs w:val="19"/>
              </w:rPr>
              <w:t xml:space="preserve">和上面的内容部分重叠，章节割裂感强</w:t>
            </w:r>
          </w:p>
        </w:tc>
      </w:tr>
    </w:tbl>
    <w:p>
      <w:pPr>
        <w:spacing w:after="0" w:before="12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重组方案：合并为三个职责清晰的模块</w:t>
      </w:r>
    </w:p>
    <w:p>
      <w:pPr>
        <w:spacing w:after="8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把上面四块合并重组，每个模块只做一件事：</w:t>
      </w:r>
    </w:p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2200"/>
        <w:gridCol w:w="2960"/>
      </w:tblGrid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新模块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标题建议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内容</w:t>
            </w:r>
          </w:p>
        </w:tc>
        <w:tc>
          <w:tcPr>
            <w:tcW w:type="dxa" w:w="2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替换原来哪些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① 定义模块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"What Is [Family] Steel?"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1段定义（冶金本质，60词以内）+ 3个 metric cards（改为数据型，见下）</w:t>
            </w:r>
          </w:p>
        </w:tc>
        <w:tc>
          <w:tcPr>
            <w:tcW w:type="dxa" w:w="2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Key Takeaway + narrative + Why it Matters 三块合并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② 优缺点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"Pros &amp; Cons"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左列：优点 4–5条（具体，避免泛泛）
右列：缺点/注意事项 4–5条（具体）</w:t>
            </w:r>
          </w:p>
        </w:tc>
        <w:tc>
          <w:tcPr>
            <w:tcW w:type="dxa" w:w="2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替换"When is the Right Call"的两列模块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③ 适用场景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"Best For / Not Ideal For"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Best For：2–3个具体场景 + 1句解释
Not Ideal For：1–2个反向场景（差异化内容，竞对几乎没做）</w:t>
            </w:r>
          </w:p>
        </w:tc>
        <w:tc>
          <w:tcPr>
            <w:tcW w:type="dxa" w:w="2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从"When is the Right Call"中拆出，独立成模块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④ B2B 补充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"OEM &amp; Sourcing Notes"（视觉区分）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买手常问的2–3个问题（MOQ/热处理/合规标注）+ 1–2条生产线真实数据</w:t>
            </w:r>
          </w:p>
        </w:tc>
        <w:tc>
          <w:tcPr>
            <w:tcW w:type="dxa" w:w="2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Factory Insight 内容拆分重组</w:t>
            </w:r>
          </w:p>
        </w:tc>
      </w:tr>
    </w:tbl>
    <w:p>
      <w:pPr>
        <w:spacing w:after="0" w:before="12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Metric Cards：从"重复文字"改为"数据锚点"</w:t>
      </w:r>
    </w:p>
    <w:p>
      <w:pPr>
        <w:spacing w:after="8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现有 metric cards 的内容是把正文说过的话换个格式重复。改成只有这里才有的数字，让卡片变成读者可以快速记住的数据参考：</w:t>
      </w:r>
    </w:p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800"/>
        <w:gridCol w:w="4160"/>
      </w:tblGrid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家族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改后 Metric Cards 内容建议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逻辑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Stainless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Cr ≥ 13%  /  21 种钢材  /  OEM出口量占比 &gt;90%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让买手知道这个家族有多主流，不是说教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Carbon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Cr &lt; 1%  /  可达 HRC 65+  /  磨刀耗时约是不锈钢的 40%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突出碳钢的能力上限和真实代价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Tool / Semi-Stainless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Cr 5–13%  /  耐磨比同 HRC 不锈钢高约 20–30%  /  需要 semi-stainless 标注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数据型，解释这个家族存在的原因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Powder Metallurgy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PM 工艺  /  碳化物尺寸 &lt; 3μm  /  材料溢价约 3–8×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说明为什么贵，让买手有预期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Damascus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视觉溢价  /  性能取决于芯钢  /  4 种工艺路线成本差异超 10×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直接说出 Damascus 最重要的一个事实</w:t>
            </w:r>
          </w:p>
        </w:tc>
      </w:tr>
    </w:tbl>
    <w:p>
      <w:pPr>
        <w:spacing w:after="0" w:before="12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"Pros &amp; Cons"标题比"Why it Matters"好在哪里</w:t>
      </w:r>
    </w:p>
    <w:p>
      <w:pPr>
        <w:pBdr>
          <w:left w:val="single" w:color="2E7D32" w:sz="14" w:space="8"/>
        </w:pBdr>
        <w:spacing w:after="60" w:before="60"/>
        <w:ind w:left="360"/>
      </w:pPr>
      <w:r>
        <w:rPr>
          <w:rFonts w:ascii="Arial" w:cs="Arial" w:eastAsia="Arial" w:hAnsi="Arial"/>
          <w:color w:val="1B5E20"/>
          <w:sz w:val="20"/>
          <w:szCs w:val="20"/>
        </w:rPr>
        <w:t xml:space="preserve">读者已经在 Pillar 页了，说明他们对这个家族有基本认知。"为什么它重要"是在说服一个不需要被说服的人。"Pros &amp; Cons"直接回答他们真正的问题：这个家族适不适合我的产品线？</w:t>
      </w:r>
    </w:p>
    <w:p>
      <w:pPr>
        <w:pBdr>
          <w:left w:val="single" w:color="2E7D32" w:sz="14" w:space="8"/>
        </w:pBdr>
        <w:spacing w:after="60" w:before="60"/>
        <w:ind w:left="360"/>
      </w:pPr>
      <w:r>
        <w:rPr>
          <w:rFonts w:ascii="Arial" w:cs="Arial" w:eastAsia="Arial" w:hAnsi="Arial"/>
          <w:color w:val="1B5E20"/>
          <w:sz w:val="20"/>
          <w:szCs w:val="20"/>
        </w:rPr>
        <w:t xml:space="preserve">"Not Ideal For"是大多数竞对没做的内容。读者能在这里看到"别用这个钢的场景"，反而会更信任整个页面的客观性。这对 B2B 买手尤其重要——他们不需要你说所有钢都好，他们需要你帮他们避坑。</w:t>
      </w:r>
    </w:p>
    <w:p>
      <w:pPr>
        <w:pBdr>
          <w:left w:val="single" w:color="F57C00" w:sz="14" w:space="8"/>
        </w:pBdr>
        <w:spacing w:after="60" w:before="60"/>
        <w:ind w:left="360"/>
      </w:pPr>
      <w:r>
        <w:rPr>
          <w:rFonts w:ascii="Arial" w:cs="Arial" w:eastAsia="Arial" w:hAnsi="Arial"/>
          <w:color w:val="6D3A00"/>
          <w:sz w:val="20"/>
          <w:szCs w:val="20"/>
        </w:rPr>
        <w:t xml:space="preserve">Pros &amp; Cons 里的内容要具体，不能写"hard to sharpen"这种泛泛的话。要写"磨刀时间约是 8Cr13MoV 的 2–3 倍，需要 400 目以上的砂轮起步"这种有参考价值的信息。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B2B 内容视觉区分方案</w:t>
      </w:r>
    </w:p>
    <w:p>
      <w:pPr>
        <w:spacing w:after="8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把 B2B/OEM 内容放在一个背景色不同的独立模块（如灰底或橙色左边框），和 C 端内容明确区分：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"OEM &amp; Sourcing Notes" 模块放在 Pros &amp; Cons 之后，汇总表之前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内容保持简短：2–3 条，每条 1–2 句，不展开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示例内容：MOQ 参考 / 热处理特殊要求 / 市场标注建议（如"semi-stainless"避免退货投诉）</w:t>
      </w:r>
    </w:p>
    <w:p>
      <w:pPr>
        <w:pBdr>
          <w:left w:val="single" w:color="E67E22" w:sz="14" w:space="8"/>
        </w:pBdr>
        <w:spacing w:after="80" w:before="80"/>
        <w:ind w:left="360"/>
      </w:pPr>
      <w:r>
        <w:rPr>
          <w:rFonts w:ascii="Arial" w:cs="Arial" w:eastAsia="Arial" w:hAnsi="Arial"/>
          <w:i/>
          <w:iCs/>
          <w:color w:val="7D4E00"/>
          <w:sz w:val="20"/>
          <w:szCs w:val="20"/>
        </w:rPr>
        <w:t xml:space="preserve">这个模块不需要 5 个页面都一样长，有些家族（如 Carbon）B2B 注意事项更多，有些（如 Stainless）可以更短。根据实际生产经验灵活调整。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重组后页面顶部完整模块顺序</w:t>
      </w:r>
    </w:p>
    <w:p>
      <w:pPr>
        <w:spacing w:after="8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以 Tool/Semi-Stainless 为例，重组后开篇到汇总表之间的顺序：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Hero（保留）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Stats Strip（改为数据型 metric cards，见上表）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What Is Tool/Semi-Stainless Steel?（定义，60词 + TOC）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Pros &amp; Cons（直接两列，取代"Why it Matters"+"When is the Right Call"）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Best For / Not Ideal For（从适用场景拆出的独立模块）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OEM &amp; Sourcing Notes（B2B 独立模块，灰底或左边框区分）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Shortlist 汇总表（四维版，见第五章）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各钢材深度解析区块（见第四章）</w:t>
      </w:r>
    </w:p>
    <w:p>
      <w:pPr>
        <w:pStyle w:val="ListParagraph"/>
        <w:numPr>
          <w:ilvl w:val="0"/>
          <w:numId w:val="3"/>
        </w:numPr>
        <w:spacing w:after="50" w:before="5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Factory Insight / FAQ / CTA（保留）</w:t>
      </w:r>
    </w:p>
    <w:p>
      <w:pPr>
        <w:spacing w:after="0" w:before="120"/>
      </w:pPr>
    </w:p>
    <w:p>
      <w:pPr>
        <w:pBdr>
          <w:left w:val="single" w:color="E67E22" w:sz="14" w:space="8"/>
        </w:pBdr>
        <w:spacing w:after="80" w:before="80"/>
        <w:ind w:left="360"/>
      </w:pPr>
      <w:r>
        <w:rPr>
          <w:rFonts w:ascii="Arial" w:cs="Arial" w:eastAsia="Arial" w:hAnsi="Arial"/>
          <w:i/>
          <w:iCs/>
          <w:color w:val="7D4E00"/>
          <w:sz w:val="20"/>
          <w:szCs w:val="20"/>
        </w:rPr>
        <w:t xml:space="preserve">这个顺序适用于所有 5 个 Pillar 页。Damascus 页略有不同：第 ③ 模块标题改为"What Is Damascus Steel?（Construction, Not Composition）"，Pros &amp; Cons 改为"Advantages &amp; Limitations of Damascus Construction"。</w:t>
      </w:r>
    </w:p>
    <w:p>
      <w:pPr>
        <w:pBdr>
          <w:bottom w:val="single" w:color="EEEEEE" w:sz="4" w:space="1"/>
        </w:pBdr>
        <w:spacing w:after="240" w:before="240"/>
      </w:pPr>
    </w:p>
    <w:p>
      <w:pPr>
        <w:pStyle w:val="Heading1"/>
        <w:pBdr>
          <w:bottom w:val="single" w:color="E67E22" w:sz="6" w:space="4"/>
        </w:pBdr>
        <w:spacing w:after="160" w:before="400"/>
      </w:pPr>
      <w:r>
        <w:rPr>
          <w:rFonts w:ascii="Arial" w:cs="Arial" w:eastAsia="Arial" w:hAnsi="Arial"/>
          <w:b/>
          <w:bCs/>
          <w:color w:val="1A1A1A"/>
          <w:sz w:val="36"/>
          <w:szCs w:val="36"/>
        </w:rPr>
        <w:t xml:space="preserve">十、执行优先级</w:t>
      </w:r>
    </w:p>
    <w:p>
      <w:pPr>
        <w:spacing w:after="8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按工作量和影响力排序：</w:t>
      </w:r>
    </w:p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800"/>
        <w:gridCol w:w="1800"/>
        <w:gridCol w:w="3960"/>
      </w:tblGrid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优先级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任务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执行方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预期影响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F0000"/>
                <w:sz w:val="19"/>
                <w:szCs w:val="19"/>
              </w:rPr>
              <w:t xml:space="preserve">P1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开篇结构重组：4块重复内容 → "定义 + Pros/Cons + Best For/Not Ideal For + OEM Notes" 4个模块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程序员 + 内容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消除重复感，读者停留时间提升；逻辑清晰度是 Pillar 页排名的隐性因素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F0000"/>
                <w:sz w:val="19"/>
                <w:szCs w:val="19"/>
              </w:rPr>
              <w:t xml:space="preserve">P1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将汇总表列改为四维标准维度（Edge Retention / Toughness / Corrosion / Ease of Sharpening + HRC + Best For）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程序员 + 内容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AI Overview 收录概率提升最快的改动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F0000"/>
                <w:sz w:val="19"/>
                <w:szCs w:val="19"/>
              </w:rPr>
              <w:t xml:space="preserve">P1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每支钢材补充独立深度解析区块（四维进度条 + 1–2句描述 + 内链）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程序员 + 内容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Pillar 页 authority 建立的核心，直接影响相关 Cluster 文章排名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D3A00"/>
                <w:sz w:val="19"/>
                <w:szCs w:val="19"/>
              </w:rPr>
              <w:t xml:space="preserve">P2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产品卡从底部集中 → 钢材级精准关联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程序员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转化链路补全，B2B 买手留存率提升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D3A00"/>
                <w:sz w:val="19"/>
                <w:szCs w:val="19"/>
              </w:rPr>
              <w:t xml:space="preserve">P2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Factory Insight 替换为真实批次数据（至少 3 条）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内容 + 生产团队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Leeknives 独有 authority，竞对无法复制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19"/>
                <w:szCs w:val="19"/>
              </w:rPr>
              <w:t xml:space="preserve">P3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Damascus 页补充"Construction Category"说明文字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内容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消除读者困惑，逻辑自洽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19"/>
                <w:szCs w:val="19"/>
              </w:rPr>
              <w:t xml:space="preserve">P3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FAQ 补充高搜索量问题 + 指向 Cluster 文章的内链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内容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9"/>
                <w:szCs w:val="19"/>
              </w:rPr>
              <w:t xml:space="preserve">PAA 收录机会 + 内链权重</w:t>
            </w:r>
          </w:p>
        </w:tc>
      </w:tr>
    </w:tbl>
    <w:p>
      <w:pPr>
        <w:spacing w:after="0" w:before="120"/>
      </w:pPr>
    </w:p>
    <w:p>
      <w:pPr>
        <w:pBdr>
          <w:top w:val="single" w:color="EEEEEE" w:sz="4" w:space="4"/>
        </w:pBdr>
        <w:spacing w:after="80" w:before="32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附注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四维评分数据（第三章数据表）需内容/产品团队最终核实后定稿，当前数值仅为开发参考。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各钢材的 Cluster 文章链接由内容团队提供给程序员，建立正式内链关系。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产品关联链接在产品页面完成前，可临时指向 contact 页面并加 UTM 参数追踪来源。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2026-04-22T08:22:58.192Z</dcterms:created>
  <dcterms:modified xsi:type="dcterms:W3CDTF">2026-04-22T08:22:58.193Z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