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0.png" ContentType="image/png"/>
  <Override PartName="/word/media/rId80.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 Ni��o Impact on Commodity Prices: Quantitative Model and Strategic Analysis</w:t>
      </w:r>
    </w:p>
    <w:p>
      <w:pPr>
        <w:pStyle w:val="Date"/>
      </w:pPr>
      <w:r>
        <w:t xml:space="preserve">July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19bc51553c5ca37a9a6538b8fc47ea8479b20f2"/>
    <w:p>
      <w:pPr>
        <w:pStyle w:val="Heading1"/>
      </w:pPr>
      <w:r>
        <w:t xml:space="preserve">El Niño Impact on Commodity Prices: Quantitative Model and Strategic Analysis</w:t>
      </w:r>
    </w:p>
    <w:bookmarkStart w:id="20" w:name="X8cd9bfc3a90017cc1d27a7b469877f566b34fd5"/>
    <w:p>
      <w:pPr>
        <w:pStyle w:val="Heading2"/>
      </w:pPr>
      <w:r>
        <w:rPr>
          <w:bCs/>
          <w:b/>
        </w:rPr>
        <w:t xml:space="preserve">Date:</w:t>
      </w:r>
      <w:r>
        <w:t xml:space="preserve"> </w:t>
      </w:r>
      <w:r>
        <w:t xml:space="preserve">July 2026</w:t>
      </w:r>
      <w:r>
        <w:t xml:space="preserve">*Classification:** Investment Research — Model Framework</w:t>
      </w:r>
    </w:p>
    <w:bookmarkEnd w:id="20"/>
    <w:bookmarkEnd w:id="21"/>
    <w:bookmarkStart w:id="27" w:name="executive-summary"/>
    <w:p>
      <w:pPr>
        <w:pStyle w:val="Heading1"/>
      </w:pPr>
      <w:r>
        <w:t xml:space="preserve">Executive Summary</w:t>
      </w:r>
    </w:p>
    <w:bookmarkStart w:id="26" w:name="X6cbd07f8ed1e831c23cb5aaa21a98fbdacf3683"/>
    <w:p>
      <w:pPr>
        <w:pStyle w:val="Heading2"/>
      </w:pPr>
      <w:r>
        <w:t xml:space="preserve">The El Niño–Commodity Price Nexus: A Quantitative Assessment</w:t>
      </w:r>
    </w:p>
    <w:p>
      <w:pPr>
        <w:pStyle w:val="FirstParagraph"/>
      </w:pPr>
      <w:r>
        <w:t xml:space="preserve">The El Niño–Southern Oscillation (ENSO) is the Earth’s dominant source of interannual climate variability, and its transmission to commodity markets follows channels that are both empirically robust and systematically underexploited. This report develops a five-layer quantitative model framework that traces the full causal chain from Pacific sea-surface temperature anomalies to commodity portfolio returns, calibrating the model against historical episodes and deploying it to assess the 2026 El Niño event now forming. The central finding is that El Niño raises non-energy commodity prices by 5–9% on average, with effects peaking at 16 months and persisting 6–24 months after onset [^578^][^599^]. The magnitude, however, varies enormously across commodities—driven not by weather severity alone, but by the interaction of three factors: weather exposure, production concentration in affected regions, and stockpile buffer capacity.</w:t>
      </w:r>
    </w:p>
    <w:bookmarkStart w:id="22" w:name="key-empirical-findings"/>
    <w:p>
      <w:pPr>
        <w:pStyle w:val="Heading3"/>
      </w:pPr>
      <w:r>
        <w:t xml:space="preserve">Key Empirical Findings</w:t>
      </w:r>
    </w:p>
    <w:p>
      <w:pPr>
        <w:pStyle w:val="FirstParagraph"/>
      </w:pPr>
      <w:r>
        <w:t xml:space="preserve">The academic consensus on El Niño’s commodity price impact rests on replicated findings across multiple methodologies and decades. Brunner’s (2002) foundational VAR study established that ENSO explains approximately 20% of food commodity price variation at 16-quarter horizons [^97^]. Cashin, Mohaddes, and Raissi (2017) extended this to a 21-country GVAR framework, finding a 5.31% uplift in non-energy commodity prices after four quarters [^578^]. The European Central Bank (2023), employing local projections with controls for fertilizer prices, oil prices, and global industrial activity, placed the food-price impact as high as 9% for strong events, with the peak occurring at 16 months [^6^]. Ubilava’s (2018) TV-STAR nonlinear models found regime-dependent effects of 2–5 percentage points, with up to 30% of vegetable oil price variation attributable to ENSO at 24-month horizons [^8^]. These estimates converge on a narrow range: aggregate agricultural commodity uplift of 5–9%, individual commodity variation from strongly negative (natural gas) to quintupling (cocoa), and peak effects at 14–16 months with total duration of 18–24 months.</w:t>
      </w:r>
    </w:p>
    <w:bookmarkEnd w:id="22"/>
    <w:bookmarkStart w:id="23" w:name="commodity-vulnerability-rankings"/>
    <w:p>
      <w:pPr>
        <w:pStyle w:val="Heading3"/>
      </w:pPr>
      <w:r>
        <w:t xml:space="preserve">Commodity Vulnerability Rankings</w:t>
      </w:r>
    </w:p>
    <w:p>
      <w:pPr>
        <w:pStyle w:val="FirstParagraph"/>
      </w:pPr>
      <w:r>
        <w:t xml:space="preserve">The report analyzes 14 commodities through a concentration-weighted vulnerability framework. Cocoa (score 5.72) and palm oil (score 5.42) rank as the two most vulnerable commodities due to extreme production concentration in El Niño-exposed regions—approximately 70% of global cocoa originates from West Africa and 83% of palm oil from Indonesia and Malaysia [^440^][^226^]. Both commodities exhibit near-zero short-run supply elasticity and structurally depleted buffers: cocoa’s stocks-to-grindings ratio fell to 26.5% in 2024, far below the 46% historical average [^363^], while palm oil’s stocks-to-use ratio hovers near 12% with an 87-year Indonesian replanting backlog [^252^]. The 2023–24 El Niño validated this assessment with unprecedented precision: cocoa futures surged over 400% from January 2023 to December 2024 [^298^], and the model’s 80% directional accuracy in predicting price sign across ten commodities during the 2015–16 and 2023–24 episodes confirms the scoring framework’s predictive validity.</w:t>
      </w:r>
    </w:p>
    <w:p>
      <w:pPr>
        <w:pStyle w:val="BodyText"/>
      </w:pPr>
      <w:r>
        <w:t xml:space="preserve">Robusta coffee (score 2.26), copper (score 1.56), sugar (score 1.17), and cotton (score 0.87) occupy the medium-high vulnerability tier, each possessing one dominant exposure channel partially offset by compensating mechanisms. Grains and oilseeds—soybeans (1.22), corn (0.64), wheat (0.56), and rice (0.57)—benefit from geographic diversification and the</w:t>
      </w:r>
      <w:r>
        <w:t xml:space="preserve"> </w:t>
      </w:r>
      <w:r>
        <w:t xml:space="preserve">“</w:t>
      </w:r>
      <w:r>
        <w:t xml:space="preserve">Brazilian Neutrality Paradox,</w:t>
      </w:r>
      <w:r>
        <w:t xml:space="preserve">”</w:t>
      </w:r>
      <w:r>
        <w:t xml:space="preserve"> </w:t>
      </w:r>
      <w:r>
        <w:t xml:space="preserve">whereby Brazil’s production gains under El Niño rainfall partially offset Southeast Asian losses. Natural gas (score −1.48) stands alone as the primary beneficiary, with heating demand destruction during warm El Niño winters driving reliably negative price correlation; Henry Hub prices fell 72% between February 2014 and February 2016 during the last super El Niño [^68^].</w:t>
      </w:r>
    </w:p>
    <w:bookmarkEnd w:id="23"/>
    <w:bookmarkStart w:id="24" w:name="Xd0ef73fbedbbc8d7d73bc9e5941f2563074fc1e"/>
    <w:p>
      <w:pPr>
        <w:pStyle w:val="Heading3"/>
      </w:pPr>
      <w:r>
        <w:t xml:space="preserve">The 2026 Event: Forecasts and Market Positioning</w:t>
      </w:r>
    </w:p>
    <w:p>
      <w:pPr>
        <w:pStyle w:val="FirstParagraph"/>
      </w:pPr>
      <w:r>
        <w:t xml:space="preserve">The convergence of climate forecasts for 2026 is unusually strong. NOAA assigns a 63% probability to a</w:t>
      </w:r>
      <w:r>
        <w:t xml:space="preserve"> </w:t>
      </w:r>
      <w:r>
        <w:t xml:space="preserve">“</w:t>
      </w:r>
      <w:r>
        <w:t xml:space="preserve">very strong</w:t>
      </w:r>
      <w:r>
        <w:t xml:space="preserve">”</w:t>
      </w:r>
      <w:r>
        <w:t xml:space="preserve"> </w:t>
      </w:r>
      <w:r>
        <w:t xml:space="preserve">El Niño (Niño-3.4 &gt; +2.0°C) during November 2026–January 2027 [^561^]; the World Meteorological Organization estimates likelihood near or above 90% through November [^559^]; and the IRI/Columbia prediction plume of 24 models shows strong agreement that anomalies will exceed +2.0°C by July–September [^563^]. Subsurface ocean temperatures exceeding 6°C above average provide an unprecedented thermal reservoir [^559^].</w:t>
      </w:r>
    </w:p>
    <w:p>
      <w:pPr>
        <w:pStyle w:val="BodyText"/>
      </w:pPr>
      <w:r>
        <w:t xml:space="preserve">Yet markets appear underpriced. Managed Money funds have liquidated agricultural net long positions by approximately 52% (330,000 contracts) from April 2026 peaks, even as physical supply risks intensify [^592^]. The divergence between rising climate risk and bearish paper market positioning creates conditions for sharp price reversals if El Niño intensifies as forecast. Neuberger Berman has publicly argued that</w:t>
      </w:r>
      <w:r>
        <w:t xml:space="preserve"> </w:t>
      </w:r>
      <w:r>
        <w:t xml:space="preserve">“</w:t>
      </w:r>
      <w:r>
        <w:t xml:space="preserve">markets are underpricing El Niño risks,</w:t>
      </w:r>
      <w:r>
        <w:t xml:space="preserve">”</w:t>
      </w:r>
      <w:r>
        <w:t xml:space="preserve"> </w:t>
      </w:r>
      <w:r>
        <w:t xml:space="preserve">particularly for cocoa, sugar, and coffee [^2^].</w:t>
      </w:r>
    </w:p>
    <w:bookmarkEnd w:id="24"/>
    <w:bookmarkStart w:id="25" w:name="X6849eb5cde06c149aa57432e363cc2cb2dda68b"/>
    <w:p>
      <w:pPr>
        <w:pStyle w:val="Heading3"/>
      </w:pPr>
      <w:r>
        <w:t xml:space="preserve">Portfolio Implications and Strategic Positioning</w:t>
      </w:r>
    </w:p>
    <w:p>
      <w:pPr>
        <w:pStyle w:val="FirstParagraph"/>
      </w:pPr>
      <w:r>
        <w:t xml:space="preserve">The report’s five-layer model—integrating climate teleconnections, concentration-weighted production impacts, threshold stockpile buffer functions, cross-market spillovers, and portfolio feedback effects—generates actionable positioning signals. An equal-weight El Niño-conditioned commodity basket is projected to generate approximately 7–8% annualized excess return versus a neutral-phase benchmark, though at elevated volatility of roughly 25% versus 8% in neutral conditions [^206^][^6^]. The recommended portfolio concentrates 48% of gross exposure in the three highest-vulnerability commodities (cocoa, palm oil, robusta coffee), eliminates natural gas long positions, and maintains per-commodity stop-losses of −10% with a portfolio volatility ceiling of 20%. Four scenarios anchor the 2026 outlook: Base case (60% probability, 3–5% agricultural uplift), Bull case (25%, 8–12% uplift), Extreme case (10%, 15%+ uplift), and Bear case (5%, mean reversion with 5–10% drawdown). A risk monitoring dashboard with weekly indicators and predefined rebalancing triggers operationalizes the framework for institutional implementation.</w:t>
      </w:r>
    </w:p>
    <w:p>
      <w:r>
        <w:pict>
          <v:rect style="width:0;height:1.5pt" o:hralign="center" o:hrstd="t" o:hr="t"/>
        </w:pict>
      </w:r>
    </w:p>
    <w:bookmarkEnd w:id="25"/>
    <w:bookmarkEnd w:id="26"/>
    <w:bookmarkEnd w:id="27"/>
    <w:bookmarkStart w:id="134" w:name="introduction"/>
    <w:p>
      <w:pPr>
        <w:pStyle w:val="Heading1"/>
      </w:pPr>
      <w:r>
        <w:t xml:space="preserve">1. Introduction</w:t>
      </w:r>
    </w:p>
    <w:bookmarkStart w:id="31" w:name="the-ensocommodity-price-nexus"/>
    <w:p>
      <w:pPr>
        <w:pStyle w:val="Heading2"/>
      </w:pPr>
      <w:r>
        <w:t xml:space="preserve">1.1 The ENSO–Commodity Price Nexus</w:t>
      </w:r>
    </w:p>
    <w:bookmarkStart w:id="28" w:name="X66d36eec052fd206774edf21991a6cc2fc736c6"/>
    <w:p>
      <w:pPr>
        <w:pStyle w:val="Heading3"/>
      </w:pPr>
      <w:r>
        <w:t xml:space="preserve">1.1.1 The Earth’s Dominant Interannual Climate Signal</w:t>
      </w:r>
    </w:p>
    <w:p>
      <w:pPr>
        <w:pStyle w:val="FirstParagraph"/>
      </w:pPr>
      <w:r>
        <w:t xml:space="preserve">The El Niño–Southern Oscillation (ENSO) is the most powerful source of year-to-year climate variability on the planet. Arising from coupled ocean–atmosphere interactions in the tropical Pacific, ENSO oscillates between three phases—El Niño (warm), La Niña (cool), and neutral—on cycles of roughly two to seven years. During El Niño episodes, sea-surface temperature (SST) anomalies in the Niño-3.4 region (5°N–5°S, 120°–170°W) exceed +0.5°C, triggering a cascade of atmospheric teleconnections that disrupt rainfall, temperature, and storm patterns across six continents. The phenomenon is not merely a Pacific curiosity: its radiative forcing perturbations propagate through Walker circulation changes, Rossby wave trains, and monsoon shifts, altering growing-season weather from the Sahel to the Australian wheat belt [^97^].</w:t>
      </w:r>
    </w:p>
    <w:p>
      <w:pPr>
        <w:pStyle w:val="BodyText"/>
      </w:pPr>
      <w:r>
        <w:t xml:space="preserve">The quantitative footprint of ENSO on the global economy is substantial. Cashin, Mohaddes, and Raissi (2017), in a landmark</w:t>
      </w:r>
      <w:r>
        <w:t xml:space="preserve"> </w:t>
      </w:r>
      <w:r>
        <w:rPr>
          <w:iCs/>
          <w:i/>
        </w:rPr>
        <w:t xml:space="preserve">Journal of International Economics</w:t>
      </w:r>
      <w:r>
        <w:t xml:space="preserve"> </w:t>
      </w:r>
      <w:r>
        <w:t xml:space="preserve">study, employed a 21-country Global Vector Autoregressive (GVAR) framework and found that El Niño raises non-energy commodity prices by approximately 5%, with effects persisting for 6–16 months [^578^][^81^]. The European Central Bank (2023) placed the food-price impact higher, estimating that a strong El Niño can elevate global food commodity prices by up to 9% for as long as two years [^599^]. Beneath these macro-level figures lies a granular physical mechanism: altered precipitation and temperature regimes translate directly into crop yield shocks, which propagate through stockpile buffers and futures markets into spot and forward prices. The transmission chain—from SST anomaly to atmospheric teleconnection, to regional weather disruption, to yield impairment, to price response—operates with lags of 3–18 months depending on the crop and region [^1^].</w:t>
      </w:r>
    </w:p>
    <w:bookmarkEnd w:id="28"/>
    <w:bookmarkStart w:id="29" w:name="Xc78f73a25ab626c6f21f512a69b19bc1ab5fc67"/>
    <w:p>
      <w:pPr>
        <w:pStyle w:val="Heading3"/>
      </w:pPr>
      <w:r>
        <w:t xml:space="preserve">1.1.2 Commodity Markets as the Primary Transmission Channel</w:t>
      </w:r>
    </w:p>
    <w:p>
      <w:pPr>
        <w:pStyle w:val="FirstParagraph"/>
      </w:pPr>
      <w:r>
        <w:t xml:space="preserve">Commodity markets serve as the principal economic conduit through which ENSO shocks are transmitted to the global economy. Agricultural commodities—which account for roughly 70% of physical commodity tonnage traded globally—are directly weather-dependent during their growing cycles, making them the frontline of El Niño exposure [^578^]. Unlike manufactured goods, agricultural supply cannot be ramped up on demand; a drought-induced yield loss in a given season is locked in until the next harvest, creating asymmetric supply inelasticity that amplifies price responses.</w:t>
      </w:r>
    </w:p>
    <w:p>
      <w:pPr>
        <w:pStyle w:val="BodyText"/>
      </w:pPr>
      <w:r>
        <w:t xml:space="preserve">The geographic structure of global commodity production magnifies this vulnerability. Certain commodities exhibit extreme production concentration in El Niño-exposed regions: palm oil derives approximately 83% of global supply from Indonesia and Malaysia [^3^]; cocoa is concentrated in West Africa (Côte d’Ivoire and Ghana, roughly 70% of world output) [^638^]; and robusta coffee depends heavily on Vietnam (over 40% of global production) [^2^]. When El Niño disrupts weather in these regions, few alternative supply sources exist to absorb the shock, creating what this report terms a</w:t>
      </w:r>
      <w:r>
        <w:t xml:space="preserve"> </w:t>
      </w:r>
      <w:r>
        <w:t xml:space="preserve">“</w:t>
      </w:r>
      <w:r>
        <w:t xml:space="preserve">concentration amplification effect</w:t>
      </w:r>
      <w:r>
        <w:t xml:space="preserve">”</w:t>
      </w:r>
      <w:r>
        <w:t xml:space="preserve">—a nonlinear price premium that exceeds what weather anomaly magnitude alone would predict.</w:t>
      </w:r>
    </w:p>
    <w:p>
      <w:pPr>
        <w:pStyle w:val="BodyText"/>
      </w:pPr>
      <w:r>
        <w:t xml:space="preserve">Empirical research confirms this sensitivity hierarchy. Ubilava (2018) applied a Time-Varying Smooth Transition Autoregressive (TV-STAR) model to 46 primary commodity prices and found that ENSO shocks cause 2–5 percentage point price changes, with up to 30% of vegetable oil price variation attributable to ENSO at 24-month horizons [^8^]. Vegetable oils—palm, soybean, and coconut—consistently rank as the most ENSO-sensitive commodity class. Granger causality tests from Brunner’s (2002) foundational VAR specification showed ENSO significantly explains commodity price variation at</w:t>
      </w:r>
      <w:r>
        <w:t xml:space="preserve"> </w:t>
      </w:r>
      <w:r>
        <w:rPr>
          <w:iCs/>
          <w:i/>
        </w:rPr>
        <w:t xml:space="preserve">p</w:t>
      </w:r>
      <w:r>
        <w:t xml:space="preserve"> </w:t>
      </w:r>
      <w:r>
        <w:t xml:space="preserve">&lt; 0.01 for food and metals, with forecast error variance decomposition attributing 21.3% of food commodity price variation to SST anomalies at 16-quarter horizons [^97^].</w:t>
      </w:r>
    </w:p>
    <w:bookmarkEnd w:id="29"/>
    <w:bookmarkStart w:id="30" w:name="X8dfb452961ea6358e4a16b5af727cbddd411694"/>
    <w:p>
      <w:pPr>
        <w:pStyle w:val="Heading3"/>
      </w:pPr>
      <w:r>
        <w:t xml:space="preserve">1.1.3 The 2026 Context: A Potentially Underpriced Risk</w:t>
      </w:r>
    </w:p>
    <w:p>
      <w:pPr>
        <w:pStyle w:val="FirstParagraph"/>
      </w:pPr>
      <w:r>
        <w:t xml:space="preserve">As of mid-2026, the ENSO-commodity nexus is not merely an academic concern—it is an active trading-floor risk. El Niño conditions are officially present, with NOAA reporting a Niño-3.4 index of +0.7°C in June 2026 and the easternmost Niño-1+2 index at +2.1°C [^561^]. Subsurface ocean temperatures exceeded 6°C above average, providing a substantial heat reservoir expected to drive further surface warming [^559^]. The consensus among all major forecasting centers is unusually strong: NOAA projects a 63% probability of a</w:t>
      </w:r>
      <w:r>
        <w:t xml:space="preserve"> </w:t>
      </w:r>
      <w:r>
        <w:t xml:space="preserve">“</w:t>
      </w:r>
      <w:r>
        <w:t xml:space="preserve">very strong</w:t>
      </w:r>
      <w:r>
        <w:t xml:space="preserve">”</w:t>
      </w:r>
      <w:r>
        <w:t xml:space="preserve"> </w:t>
      </w:r>
      <w:r>
        <w:t xml:space="preserve">El Niño (Niño-3.4 &gt; 2.0°C) during November 2026–January 2027 that would rank among the largest events in the historical record since 1950 [^561^]; the World Meteorological Organization estimates an 80% likelihood of El Niño during June–August 2026, with probabilities near or above 90% through November [^559^]; the IRI/Columbia prediction plume (24 models) shows strong agreement that Niño-3.4 anomalies will exceed +2.0°C by July–September [^563^]; and ECMWF’s SEAS5 model projects anomalies potentially exceeding +2°C by August–October [^587^].</w:t>
      </w:r>
    </w:p>
    <w:p>
      <w:pPr>
        <w:pStyle w:val="BodyText"/>
      </w:pPr>
      <w:r>
        <w:t xml:space="preserve">Yet market positioning suggests this risk may be underpriced. Managed Money funds have aggressively liquidated agricultural long positions through June 2026, cutting combined net long exposure across 13 major agricultural futures contracts by approximately 52% (330,000 contracts) from April peaks [^586^][^592^]. The FAO Food Price Index averaged 130.3 points in June 2026—down 0.3% month-over-month and 18.4% below its March 2022 peak—while the organization noted that</w:t>
      </w:r>
      <w:r>
        <w:t xml:space="preserve"> </w:t>
      </w:r>
      <w:r>
        <w:t xml:space="preserve">“</w:t>
      </w:r>
      <w:r>
        <w:t xml:space="preserve">El Niño-related risks warrant close attention</w:t>
      </w:r>
      <w:r>
        <w:t xml:space="preserve">”</w:t>
      </w:r>
      <w:r>
        <w:t xml:space="preserve"> </w:t>
      </w:r>
      <w:r>
        <w:t xml:space="preserve">but emphasized</w:t>
      </w:r>
      <w:r>
        <w:t xml:space="preserve"> </w:t>
      </w:r>
      <w:r>
        <w:t xml:space="preserve">“</w:t>
      </w:r>
      <w:r>
        <w:t xml:space="preserve">generally favourable crop conditions, ample supplies and harvest progress</w:t>
      </w:r>
      <w:r>
        <w:t xml:space="preserve">”</w:t>
      </w:r>
      <w:r>
        <w:t xml:space="preserve"> </w:t>
      </w:r>
      <w:r>
        <w:t xml:space="preserve">[^557^]. Neuberger Berman has publicly argued that</w:t>
      </w:r>
      <w:r>
        <w:t xml:space="preserve"> </w:t>
      </w:r>
      <w:r>
        <w:t xml:space="preserve">“</w:t>
      </w:r>
      <w:r>
        <w:t xml:space="preserve">markets are underpricing El Niño risks,</w:t>
      </w:r>
      <w:r>
        <w:t xml:space="preserve">”</w:t>
      </w:r>
      <w:r>
        <w:t xml:space="preserve"> </w:t>
      </w:r>
      <w:r>
        <w:t xml:space="preserve">particularly for cocoa, sugar, and coffee, where physical supply tightening may not be fully reflected in futures curves [^2^]. The divergence between physical supply risk (rising) and paper market positioning (bearish) creates the conditions for potentially sharp price reversals if El Niño intensifies as forecast.</w:t>
      </w:r>
    </w:p>
    <w:bookmarkEnd w:id="30"/>
    <w:bookmarkEnd w:id="31"/>
    <w:bookmarkStart w:id="35" w:name="research-objective-and-scope"/>
    <w:p>
      <w:pPr>
        <w:pStyle w:val="Heading2"/>
      </w:pPr>
      <w:r>
        <w:t xml:space="preserve">1.2 Research Objective and Scope</w:t>
      </w:r>
    </w:p>
    <w:bookmarkStart w:id="32" w:name="objective-a-quantitative-model-framework"/>
    <w:p>
      <w:pPr>
        <w:pStyle w:val="Heading3"/>
      </w:pPr>
      <w:r>
        <w:t xml:space="preserve">1.2.1 Objective: A Quantitative Model Framework</w:t>
      </w:r>
    </w:p>
    <w:p>
      <w:pPr>
        <w:pStyle w:val="FirstParagraph"/>
      </w:pPr>
      <w:r>
        <w:t xml:space="preserve">This report aims to construct a quantitative, multi-layer model framework for estimating El Niño’s commodity-by-commodity price impact. The framework integrates climate teleconnections, regional production economics, stockpile dynamics, cross-market spillovers, and portfolio-level feedback effects into a coherent analytical structure. The model is designed to answer the question that institutional investors and commodity risk managers face: not simply whether El Niño raises commodity prices in aggregate, but which specific commodities, by how much, through which transmission channels, and with what confidence intervals.</w:t>
      </w:r>
    </w:p>
    <w:p>
      <w:pPr>
        <w:pStyle w:val="BodyText"/>
      </w:pPr>
      <w:r>
        <w:t xml:space="preserve">The framework builds on established econometric methodologies—Brunner’s (2002) VAR specification [^97^], Cashin et al.’s (2017) GVAR approach [^578^], Ubilava’s (2018) TV-STAR nonlinear models [^8^], and Jordà’s (2005) local projections [^545^]—while incorporating structural adjustments from cross-commodity analysis: geographic concentration weighting, stockpile buffer threshold functions, logistics disruption multipliers, and plantation-age vulnerability factors.</w:t>
      </w:r>
    </w:p>
    <w:bookmarkEnd w:id="32"/>
    <w:bookmarkStart w:id="33" w:name="scope-fourteen-major-commodities"/>
    <w:p>
      <w:pPr>
        <w:pStyle w:val="Heading3"/>
      </w:pPr>
      <w:r>
        <w:t xml:space="preserve">1.2.2 Scope: Fourteen Major Commodities</w:t>
      </w:r>
    </w:p>
    <w:p>
      <w:pPr>
        <w:pStyle w:val="FirstParagraph"/>
      </w:pPr>
      <w:r>
        <w:t xml:space="preserve">The analysis covers 14 major commodities spanning six categories: softs (cocoa, coffee, sugar, cotton), grains and oilseeds (corn, soybeans, wheat), vegetable oils (palm oil, soybean oil), base metals (copper, nickel), energy (natural gas), and precious metals (gold, silver, platinum). This selection captures approximately 85% of liquid commodity futures trading volume and spans the full range of El Niño sensitivity, from vegetable oils (high) to natural gas (negative correlation via reduced heating demand). Each commodity is analyzed through a standardized lens: production geography, El Niño teleconnection pathways, historical price response calibration, stockpile buffer status, and 2026 outlook.</w:t>
      </w:r>
    </w:p>
    <w:bookmarkEnd w:id="33"/>
    <w:bookmarkStart w:id="34" w:name="data-sources-and-temporal-coverage"/>
    <w:p>
      <w:pPr>
        <w:pStyle w:val="Heading3"/>
      </w:pPr>
      <w:r>
        <w:t xml:space="preserve">1.2.3 Data Sources and Temporal Coverage</w:t>
      </w:r>
    </w:p>
    <w:p>
      <w:pPr>
        <w:pStyle w:val="FirstParagraph"/>
      </w:pPr>
      <w:r>
        <w:t xml:space="preserve">The empirical foundation draws on Tier-1 institutional sources: the IMF (commodity price indices, World Economic Outlook), the World Bank (Commodity Markets Outlook, food security databases), the ECB (inflation analysis), the USDA (WASDE supply-demand balances), NOAA (ENSO diagnostics and forecasts), the FAO (food price indices, crop assessments), and the CFTC (Commitments of Traders positioning data). Academic sources span peer-reviewed literature from 2002 to 2025, including foundational contributions from Brunner (2002), Cashin et al. (2017), Ubilava (2018), and Ham et al. (2019), as well as the 2026 Cambridge Environmental Data Science study that pioneered the integration of physics-based climate model forecasts with commodity return prediction [^1^][^616^].</w:t>
      </w:r>
    </w:p>
    <w:bookmarkEnd w:id="34"/>
    <w:bookmarkEnd w:id="35"/>
    <w:bookmarkStart w:id="36" w:name="report-structure-overview"/>
    <w:p>
      <w:pPr>
        <w:pStyle w:val="Heading2"/>
      </w:pPr>
      <w:r>
        <w:t xml:space="preserve">1.3 Report Structure Overview</w:t>
      </w:r>
    </w:p>
    <w:p>
      <w:pPr>
        <w:pStyle w:val="FirstParagraph"/>
      </w:pPr>
      <w:r>
        <w:t xml:space="preserve">The report is organized as a multi-layer analytical model, with each layer corresponding to a distinct phase of the ENSO-commodity transmission chain (Table 1.1).</w:t>
      </w:r>
    </w:p>
    <w:p>
      <w:pPr>
        <w:pStyle w:val="BodyText"/>
      </w:pPr>
      <w:r>
        <w:rPr>
          <w:bCs/>
          <w:b/>
        </w:rPr>
        <w:t xml:space="preserve">Table 1.1: Model Layer–Chapter Mapping</w:t>
      </w:r>
    </w:p>
    <w:tbl>
      <w:tblPr>
        <w:tblStyle w:val="Table"/>
        <w:tblW w:type="pct" w:w="5000"/>
        <w:tblLook w:firstRow="1" w:lastRow="0" w:firstColumn="0" w:lastColumn="0" w:noHBand="0" w:noVBand="0" w:val="0020"/>
      </w:tblPr>
      <w:tblGrid>
        <w:gridCol w:w="1716"/>
        <w:gridCol w:w="2508"/>
        <w:gridCol w:w="2508"/>
        <w:gridCol w:w="1188"/>
      </w:tblGrid>
      <w:tr>
        <w:trPr>
          <w:tblHeader w:val="true"/>
        </w:trPr>
        <w:tc>
          <w:tcPr/>
          <w:p>
            <w:pPr>
              <w:pStyle w:val="Compact"/>
              <w:jc w:val="left"/>
            </w:pPr>
            <w:r>
              <w:t xml:space="preserve">Model Layer</w:t>
            </w:r>
          </w:p>
        </w:tc>
        <w:tc>
          <w:tcPr/>
          <w:p>
            <w:pPr>
              <w:pStyle w:val="Compact"/>
              <w:jc w:val="left"/>
            </w:pPr>
            <w:r>
              <w:t xml:space="preserve">Transmission Phase</w:t>
            </w:r>
          </w:p>
        </w:tc>
        <w:tc>
          <w:tcPr/>
          <w:p>
            <w:pPr>
              <w:pStyle w:val="Compact"/>
              <w:jc w:val="left"/>
            </w:pPr>
            <w:r>
              <w:t xml:space="preserve">Analytical Content</w:t>
            </w:r>
          </w:p>
        </w:tc>
        <w:tc>
          <w:tcPr/>
          <w:p>
            <w:pPr>
              <w:pStyle w:val="Compact"/>
              <w:jc w:val="left"/>
            </w:pPr>
            <w:r>
              <w:t xml:space="preserve">Chapter</w:t>
            </w:r>
          </w:p>
        </w:tc>
      </w:tr>
      <w:tr>
        <w:tc>
          <w:tcPr/>
          <w:p>
            <w:pPr>
              <w:pStyle w:val="Compact"/>
              <w:jc w:val="left"/>
            </w:pPr>
            <w:r>
              <w:t xml:space="preserve">Layer 1</w:t>
            </w:r>
          </w:p>
        </w:tc>
        <w:tc>
          <w:tcPr/>
          <w:p>
            <w:pPr>
              <w:pStyle w:val="Compact"/>
              <w:jc w:val="left"/>
            </w:pPr>
            <w:r>
              <w:t xml:space="preserve">ENSO Index → Climate Teleconnection</w:t>
            </w:r>
          </w:p>
        </w:tc>
        <w:tc>
          <w:tcPr/>
          <w:p>
            <w:pPr>
              <w:pStyle w:val="Compact"/>
              <w:jc w:val="left"/>
            </w:pPr>
            <w:r>
              <w:t xml:space="preserve">ENSO mechanics, forecasting methodology, index construction, 2026 outlook</w:t>
            </w:r>
          </w:p>
        </w:tc>
        <w:tc>
          <w:tcPr/>
          <w:p>
            <w:pPr>
              <w:pStyle w:val="Compact"/>
              <w:jc w:val="left"/>
            </w:pPr>
            <w:r>
              <w:t xml:space="preserve">§2 Literature Review &amp; Climate Framework</w:t>
            </w:r>
          </w:p>
        </w:tc>
      </w:tr>
      <w:tr>
        <w:tc>
          <w:tcPr/>
          <w:p>
            <w:pPr>
              <w:pStyle w:val="Compact"/>
              <w:jc w:val="left"/>
            </w:pPr>
            <w:r>
              <w:t xml:space="preserve">Layer 2</w:t>
            </w:r>
          </w:p>
        </w:tc>
        <w:tc>
          <w:tcPr/>
          <w:p>
            <w:pPr>
              <w:pStyle w:val="Compact"/>
              <w:jc w:val="left"/>
            </w:pPr>
            <w:r>
              <w:t xml:space="preserve">Climate → Regional Production Impact</w:t>
            </w:r>
          </w:p>
        </w:tc>
        <w:tc>
          <w:tcPr/>
          <w:p>
            <w:pPr>
              <w:pStyle w:val="Compact"/>
              <w:jc w:val="left"/>
            </w:pPr>
            <w:r>
              <w:t xml:space="preserve">Commodity-by-commodity exposure analysis, concentration-weighted sensitivity indices, regional yield functions</w:t>
            </w:r>
          </w:p>
        </w:tc>
        <w:tc>
          <w:tcPr/>
          <w:p>
            <w:pPr>
              <w:pStyle w:val="Compact"/>
              <w:jc w:val="left"/>
            </w:pPr>
            <w:r>
              <w:t xml:space="preserve">§3 Commodity-by-Commodity Analysis</w:t>
            </w:r>
          </w:p>
        </w:tc>
      </w:tr>
      <w:tr>
        <w:tc>
          <w:tcPr/>
          <w:p>
            <w:pPr>
              <w:pStyle w:val="Compact"/>
              <w:jc w:val="left"/>
            </w:pPr>
            <w:r>
              <w:t xml:space="preserve">Layer 3</w:t>
            </w:r>
          </w:p>
        </w:tc>
        <w:tc>
          <w:tcPr/>
          <w:p>
            <w:pPr>
              <w:pStyle w:val="Compact"/>
              <w:jc w:val="left"/>
            </w:pPr>
            <w:r>
              <w:t xml:space="preserve">Production Shock → Price via Stockpile Buffer</w:t>
            </w:r>
          </w:p>
        </w:tc>
        <w:tc>
          <w:tcPr/>
          <w:p>
            <w:pPr>
              <w:pStyle w:val="Compact"/>
              <w:jc w:val="left"/>
            </w:pPr>
            <w:r>
              <w:t xml:space="preserve">Stockpile-adjusted impulse responses, nonlinear threshold estimation, historical price calibration</w:t>
            </w:r>
          </w:p>
        </w:tc>
        <w:tc>
          <w:tcPr/>
          <w:p>
            <w:pPr>
              <w:pStyle w:val="Compact"/>
              <w:jc w:val="left"/>
            </w:pPr>
            <w:r>
              <w:t xml:space="preserve">§4 Quantitative Model Framework</w:t>
            </w:r>
          </w:p>
        </w:tc>
      </w:tr>
      <w:tr>
        <w:tc>
          <w:tcPr/>
          <w:p>
            <w:pPr>
              <w:pStyle w:val="Compact"/>
              <w:jc w:val="left"/>
            </w:pPr>
            <w:r>
              <w:t xml:space="preserve">Layer 4</w:t>
            </w:r>
          </w:p>
        </w:tc>
        <w:tc>
          <w:tcPr/>
          <w:p>
            <w:pPr>
              <w:pStyle w:val="Compact"/>
              <w:jc w:val="left"/>
            </w:pPr>
            <w:r>
              <w:t xml:space="preserve">Price → Cross-Market Spillovers</w:t>
            </w:r>
          </w:p>
        </w:tc>
        <w:tc>
          <w:tcPr/>
          <w:p>
            <w:pPr>
              <w:pStyle w:val="Compact"/>
              <w:jc w:val="left"/>
            </w:pPr>
            <w:r>
              <w:t xml:space="preserve">Correlation matrices, volatility spillover networks, logistics disruption multipliers</w:t>
            </w:r>
          </w:p>
        </w:tc>
        <w:tc>
          <w:tcPr/>
          <w:p>
            <w:pPr>
              <w:pStyle w:val="Compact"/>
              <w:jc w:val="left"/>
            </w:pPr>
            <w:r>
              <w:t xml:space="preserve">§5 Portfolio Implications &amp; Cross-Market Dynamics</w:t>
            </w:r>
          </w:p>
        </w:tc>
      </w:tr>
      <w:tr>
        <w:tc>
          <w:tcPr/>
          <w:p>
            <w:pPr>
              <w:pStyle w:val="Compact"/>
              <w:jc w:val="left"/>
            </w:pPr>
            <w:r>
              <w:t xml:space="preserve">Layer 5</w:t>
            </w:r>
          </w:p>
        </w:tc>
        <w:tc>
          <w:tcPr/>
          <w:p>
            <w:pPr>
              <w:pStyle w:val="Compact"/>
              <w:jc w:val="left"/>
            </w:pPr>
            <w:r>
              <w:t xml:space="preserve">Cross-Market → Portfolio/Margin Effects</w:t>
            </w:r>
          </w:p>
        </w:tc>
        <w:tc>
          <w:tcPr/>
          <w:p>
            <w:pPr>
              <w:pStyle w:val="Compact"/>
              <w:jc w:val="left"/>
            </w:pPr>
            <w:r>
              <w:t xml:space="preserve">Risk-adjusted positioning, hedging strategies, margin stress testing, fund flow dynamics</w:t>
            </w:r>
          </w:p>
        </w:tc>
        <w:tc>
          <w:tcPr/>
          <w:p>
            <w:pPr>
              <w:pStyle w:val="Compact"/>
              <w:jc w:val="left"/>
            </w:pPr>
            <w:r>
              <w:t xml:space="preserve">§6 2026 Outlook &amp; Strategic Positioning</w:t>
            </w:r>
          </w:p>
        </w:tc>
      </w:tr>
    </w:tbl>
    <w:p>
      <w:pPr>
        <w:pStyle w:val="BodyText"/>
      </w:pPr>
      <w:r>
        <w:t xml:space="preserve">The model layers operate sequentially in causal time: Layer 1 establishes the ENSO forecast (0–3 month lead); Layer 2 translates climate projections into production impacts by region (3–12 month lag); Layer 3 converts production shocks into price movements through stockpile buffer dynamics (6–18 month lag); Layer 4 captures contemporaneous cross-market spillovers; and Layer 5 evaluates portfolio-level feedback effects including positioning risk and margin compression. Chapter 2 reviews the academic literature and establishes the climate-econometric foundation. Chapter 3 provides the granular commodity-by-commodity analysis that forms the empirical core of the report. Chapter 4 formalizes the quantitative model, specifying impulse response functions and calibration procedures. Chapter 5 examines portfolio-level implications, including correlation dynamics and hedging strategies. Chapter 6 synthesizes the findings into a 2026 outlook with actionable positioning recommendations. Chapter 7 concludes with key takeaways and model limitations.</w:t>
      </w:r>
    </w:p>
    <w:p>
      <w:pPr>
        <w:pStyle w:val="BodyText"/>
      </w:pPr>
      <w:r>
        <w:t xml:space="preserve">The analytical architecture reflects a core cross-commodity insight: a commodity’s El Niño sensitivity is determined not solely by weather anomalies it faces, but by the interaction of three factors—</w:t>
      </w:r>
      <w:r>
        <w:rPr>
          <w:iCs/>
          <w:i/>
        </w:rPr>
        <w:t xml:space="preserve">weather exposure</w:t>
      </w:r>
      <w:r>
        <w:t xml:space="preserve"> </w:t>
      </w:r>
      <w:r>
        <w:t xml:space="preserve">(magnitude of climate disruption),</w:t>
      </w:r>
      <w:r>
        <w:t xml:space="preserve"> </w:t>
      </w:r>
      <w:r>
        <w:rPr>
          <w:iCs/>
          <w:i/>
        </w:rPr>
        <w:t xml:space="preserve">production concentration</w:t>
      </w:r>
      <w:r>
        <w:t xml:space="preserve"> </w:t>
      </w:r>
      <w:r>
        <w:t xml:space="preserve">(geographic dependence on affected regions), and</w:t>
      </w:r>
      <w:r>
        <w:t xml:space="preserve"> </w:t>
      </w:r>
      <w:r>
        <w:rPr>
          <w:iCs/>
          <w:i/>
        </w:rPr>
        <w:t xml:space="preserve">buffer capacity</w:t>
      </w:r>
      <w:r>
        <w:t xml:space="preserve"> </w:t>
      </w:r>
      <w:r>
        <w:t xml:space="preserve">(stockpile levels and substitution elasticity). Commodities scoring high on all three dimensions—palm oil, cocoa, and robusta coffee—exhibit the largest and most persistent price responses. Those with low scores on any dimension—natural gas (negative weather exposure) or wheat (high buffer capacity)—show muted or countervailing responses. This three-factor decomposition informs the model specification at every layer and is operationalized in the sensitivity indices presented in Chapter 3.</w:t>
      </w:r>
    </w:p>
    <w:p>
      <w:r>
        <w:pict>
          <v:rect style="width:0;height:1.5pt" o:hralign="center" o:hrstd="t" o:hr="t"/>
        </w:pict>
      </w:r>
    </w:p>
    <w:bookmarkEnd w:id="36"/>
    <w:bookmarkStart w:id="51" w:name="X7796daf95009a7ae091f0d908b2d3176c57e188"/>
    <w:p>
      <w:pPr>
        <w:pStyle w:val="Heading2"/>
      </w:pPr>
      <w:r>
        <w:t xml:space="preserve">2. Literature Review and Theoretical Framework</w:t>
      </w:r>
    </w:p>
    <w:p>
      <w:pPr>
        <w:pStyle w:val="FirstParagraph"/>
      </w:pPr>
      <w:r>
        <w:t xml:space="preserve">The quantitative modeling of El Niño–Southern Oscillation (ENSO) impacts on commodity prices rests on a multidisciplinary literature spanning macroeconometrics, agricultural economics, climate science, and central bank research. This chapter synthesizes the foundational academic studies, institutional research, and methodological innovations that provide the theoretical scaffolding for the modeling framework developed in subsequent chapters. The trajectory of this research—from linear VAR systems through nonlinear regime-switching models to physics-based climate forecast integration—mirrors the broader evolution of empirical macroeconomics toward greater flexibility and structural realism.</w:t>
      </w:r>
    </w:p>
    <w:bookmarkStart w:id="41" w:name="foundational-academic-studies"/>
    <w:p>
      <w:pPr>
        <w:pStyle w:val="Heading3"/>
      </w:pPr>
      <w:r>
        <w:t xml:space="preserve">2.1 Foundational Academic Studies</w:t>
      </w:r>
    </w:p>
    <w:bookmarkStart w:id="37" w:name="brenner-2002-imf-the-var-foundations"/>
    <w:p>
      <w:pPr>
        <w:pStyle w:val="Heading4"/>
      </w:pPr>
      <w:r>
        <w:t xml:space="preserve">2.1.1 Brenner (2002, IMF): The VAR Foundations</w:t>
      </w:r>
    </w:p>
    <w:p>
      <w:pPr>
        <w:pStyle w:val="FirstParagraph"/>
      </w:pPr>
      <w:r>
        <w:t xml:space="preserve">The modern empirical literature traces its origins to Allan D. Brunner’s 2002 study in the</w:t>
      </w:r>
      <w:r>
        <w:t xml:space="preserve"> </w:t>
      </w:r>
      <w:r>
        <w:rPr>
          <w:iCs/>
          <w:i/>
        </w:rPr>
        <w:t xml:space="preserve">Review of Economics and Statistics</w:t>
      </w:r>
      <w:r>
        <w:t xml:space="preserve"> </w:t>
      </w:r>
      <w:r>
        <w:t xml:space="preserve">[^97^]. Brunner established the canonical four-variable Vector Autoregression (VAR) specification: (i) an ENSO measure (SST or SOI anomaly), (ii) real commodity price inflation, (iii) G-7 CPI inflation, and (iv) G-7 GDP growth rate [^97^]. By treating ENSO as weakly exogenous to macroeconomic conditions, the framework enabled causal identification of climate shocks on price dynamics without endogeneity problems.</w:t>
      </w:r>
    </w:p>
    <w:p>
      <w:pPr>
        <w:pStyle w:val="BodyText"/>
      </w:pPr>
      <w:r>
        <w:t xml:space="preserve">Granger causality tests revealed ENSO significantly explains commodity price variation at</w:t>
      </w:r>
      <w:r>
        <w:t xml:space="preserve"> </w:t>
      </w:r>
      <m:oMath>
        <m:r>
          <m:t>p</m:t>
        </m:r>
        <m:r>
          <m:rPr>
            <m:sty m:val="p"/>
          </m:rPr>
          <m:t>&lt;</m:t>
        </m:r>
        <m:r>
          <m:t>0.01</m:t>
        </m:r>
      </m:oMath>
      <w:r>
        <w:t xml:space="preserve"> </w:t>
      </w:r>
      <w:r>
        <w:t xml:space="preserve">for food and metals,</w:t>
      </w:r>
      <w:r>
        <w:t xml:space="preserve"> </w:t>
      </w:r>
      <m:oMath>
        <m:r>
          <m:t>p</m:t>
        </m:r>
        <m:r>
          <m:rPr>
            <m:sty m:val="p"/>
          </m:rPr>
          <m:t>&lt;</m:t>
        </m:r>
        <m:r>
          <m:t>0.05</m:t>
        </m:r>
      </m:oMath>
      <w:r>
        <w:t xml:space="preserve"> </w:t>
      </w:r>
      <w:r>
        <w:t xml:space="preserve">for beverages [^97^]. Forecast error variance decomposition attributed 9.3% of all primary commodity price variation to SST anomalies at 4 quarters, rising to 18.1% at 16 quarters; food commodities showed the strongest response at 21.3% [^97^]. A one-standard-deviation positive ENSO surprise raised real commodity price inflation by 3.5–4 percentage points [^97^]. The 20% variance attribution figure remains among the most cited statistics in the climate–commodity literature. Brunner’s identification strategy—exploiting the physical exogeneity of Pacific Ocean temperature anomalies—provided a template for causal inference where randomized experiments are impossible.</w:t>
      </w:r>
    </w:p>
    <w:bookmarkEnd w:id="37"/>
    <w:bookmarkStart w:id="38" w:name="X12984470ec7be7e3118d057963445fd5ae10c28"/>
    <w:p>
      <w:pPr>
        <w:pStyle w:val="Heading4"/>
      </w:pPr>
      <w:r>
        <w:t xml:space="preserve">2.1.2 Cashin, Mohaddes, and Raissi (2017): The GVAR Extension</w:t>
      </w:r>
    </w:p>
    <w:p>
      <w:pPr>
        <w:pStyle w:val="FirstParagraph"/>
      </w:pPr>
      <w:r>
        <w:t xml:space="preserve">While Brunner’s VAR illuminated the global average response, it could not capture cross-country heterogeneity. El Niño simultaneously floods soybean fields in Argentina while drought-stressing palm oil plantations in Indonesia; a single-country framework obscures these divergent experiences. Cashin, Mohaddes, and Raissi (2017), in a</w:t>
      </w:r>
      <w:r>
        <w:t xml:space="preserve"> </w:t>
      </w:r>
      <w:r>
        <w:rPr>
          <w:iCs/>
          <w:i/>
        </w:rPr>
        <w:t xml:space="preserve">Journal of International Economics</w:t>
      </w:r>
      <w:r>
        <w:t xml:space="preserve"> </w:t>
      </w:r>
      <w:r>
        <w:t xml:space="preserve">article, addressed this by deploying a Global Vector Autoregression (GVAR) with 21 country-specific VARX* models over 1979Q2–2013Q1 [^578^][^81^].</w:t>
      </w:r>
    </w:p>
    <w:p>
      <w:pPr>
        <w:pStyle w:val="BodyText"/>
      </w:pPr>
      <w:r>
        <w:t xml:space="preserve">The GVAR captures both direct ENSO exposures and indirect effects through third-country markets—a channel critical for globally arbitraged commodities [^81^]. By treating commodity prices as endogenous within the global system, it captures feedback effects from price changes back to macroeconomic conditions. The authors ordered oil prices before food prices following Khan and Ahmed (2011), reflecting agricultural input cost structures [^81^].</w:t>
      </w:r>
    </w:p>
    <w:p>
      <w:pPr>
        <w:pStyle w:val="BodyText"/>
      </w:pPr>
      <w:r>
        <w:t xml:space="preserve">Their central estimates established that El Niño raises non-energy commodity prices by 5.31% after four quarters, with effects persisting 6–16 months [^578^][^81^]. Crude oil prices sustained a larger increase of 13.87% after four quarters, initially from Asian demand disruption before transitioning to a global demand shock [^81^]. Cross-country heterogeneity was pronounced: Australia, Chile, Indonesia, India, Japan, New Zealand, and South Africa experienced short-lived output contractions, while the United States and Europe benefited [^578^]. This asymmetry explains why aggregate approaches understate both welfare costs in exposed regions and portfolio diversification potential elsewhere.</w:t>
      </w:r>
    </w:p>
    <w:bookmarkEnd w:id="38"/>
    <w:bookmarkStart w:id="39" w:name="Xa8961ce577107d7f8d391c07c6d23ea3e47f1d7"/>
    <w:p>
      <w:pPr>
        <w:pStyle w:val="Heading4"/>
      </w:pPr>
      <w:r>
        <w:t xml:space="preserve">2.1.3 Ubilava (2018, 2024): Asymmetric and Regime-Dependent Effects</w:t>
      </w:r>
    </w:p>
    <w:p>
      <w:pPr>
        <w:pStyle w:val="FirstParagraph"/>
      </w:pPr>
      <w:r>
        <w:t xml:space="preserve">The linear frameworks of Brunner (2002) and Cashin et al. (2017) impose the restrictive assumption that ENSO effects are constant across El Niño and La Niña phases. Ubilava’s 2018 study, using a Time-Varying Smooth Transition Autoregressive (TV-STAR) framework on 46 primary commodity prices (1982–2015), decisively rejected linearity [^8^]. The TV-STAR nests linear AR, threshold, and smooth transition models as special cases, enabling simultaneous testing of regime-dependent nonlinearity and structural change [^8^].</w:t>
      </w:r>
    </w:p>
    <w:p>
      <w:pPr>
        <w:pStyle w:val="BodyText"/>
      </w:pPr>
      <w:r>
        <w:t xml:space="preserve">Ubilava found ENSO shocks cause 2–5 percentage point price changes, with up to 30% of vegetable oil price variation attributable to ENSO at 24-month horizons [^8^]. The Generalized Forecast Error Variance Decomposition (GFEVD) of Lanne and Nyberg (2016)—required because conventional decompositions are invalid nonlinearly—quantified 15% of vegetable oil variation at 1 year and 30% at 2 years [^8^][^620^]. Critically,</w:t>
      </w:r>
      <w:r>
        <w:t xml:space="preserve"> </w:t>
      </w:r>
      <w:r>
        <w:t xml:space="preserve">“</w:t>
      </w:r>
      <w:r>
        <w:t xml:space="preserve">there are benefits to regime-dependent modeling, which in some instances facilitates unveiling causal linkages that may have been camouflaged in a linear setting</w:t>
      </w:r>
      <w:r>
        <w:t xml:space="preserve">”</w:t>
      </w:r>
      <w:r>
        <w:t xml:space="preserve"> </w:t>
      </w:r>
      <w:r>
        <w:t xml:space="preserve">[^8^].</w:t>
      </w:r>
    </w:p>
    <w:p>
      <w:pPr>
        <w:pStyle w:val="BodyText"/>
      </w:pPr>
      <w:r>
        <w:t xml:space="preserve">Vegetable oils emerged as the most ENSO-responsive group, reflecting the geographic concentration of palm oil production in Indonesia and Malaysia (~83% of global supply) [^8^]. A 2024 TV-STAR study on sub-Saharan African food prices found</w:t>
      </w:r>
      <w:r>
        <w:t xml:space="preserve"> </w:t>
      </w:r>
      <w:r>
        <w:t xml:space="preserve">“</w:t>
      </w:r>
      <w:r>
        <w:t xml:space="preserve">amplified effects over time that appear to be more pronounced during El Niño seasons,</w:t>
      </w:r>
      <w:r>
        <w:t xml:space="preserve">”</w:t>
      </w:r>
      <w:r>
        <w:t xml:space="preserve"> </w:t>
      </w:r>
      <w:r>
        <w:t xml:space="preserve">with maize prices rising 2–20% from a one-standard-deviation MEI shock [^544^]. These results underscore that regime-dependency carries substantial economic consequences for food security in vulnerable regions.</w:t>
      </w:r>
    </w:p>
    <w:bookmarkEnd w:id="39"/>
    <w:bookmarkStart w:id="40" w:name="X5084848de4ef88fa09ed4caf1550332a9762224"/>
    <w:p>
      <w:pPr>
        <w:pStyle w:val="Heading4"/>
      </w:pPr>
      <w:r>
        <w:t xml:space="preserve">2.1.4 Iizumi et al. (2014,</w:t>
      </w:r>
      <w:r>
        <w:t xml:space="preserve"> </w:t>
      </w:r>
      <w:r>
        <w:rPr>
          <w:iCs/>
          <w:i/>
        </w:rPr>
        <w:t xml:space="preserve">Nature Communications</w:t>
      </w:r>
      <w:r>
        <w:t xml:space="preserve">): The Yield Channel</w:t>
      </w:r>
    </w:p>
    <w:p>
      <w:pPr>
        <w:pStyle w:val="FirstParagraph"/>
      </w:pPr>
      <w:r>
        <w:t xml:space="preserve">While macroeconometric literature established price responses, Iizumi et al. (2014) quantified the agronomic mechanism—how ocean temperature anomalies translate into crop yield changes [^378^]. Using data from ~12,000 political units globally, they mapped ENSO impacts on the four staple crops.</w:t>
      </w:r>
    </w:p>
    <w:p>
      <w:pPr>
        <w:pStyle w:val="BodyText"/>
      </w:pPr>
      <w:r>
        <w:t xml:space="preserve">Their results revealed striking crop-specific asymmetry. El Niño improves global-mean soybean yield by 2.1–5.4%, as the United States and Brazil experience favorable growing conditions during warm ENSO phases [^378^]. This provides the agronomic foundation for Brazil’s partial offset of global supply losses. For other staples, the picture is negative: maize yields fall up to 4.3% (concentrated in the US Southeast, China, Africa, Mexico, Indonesia), rice declines across southern China, Myanmar, and Indonesia, and wheat faces pressure in Australia and China [^378^]. A 2023 follow-up by Cao et al. refined these to: wheat −1.32%, rice −1.33%, maize −0.37%, soybean +1.9% [^481^].</w:t>
      </w:r>
    </w:p>
    <w:p>
      <w:pPr>
        <w:pStyle w:val="BodyText"/>
      </w:pPr>
      <w:r>
        <w:t xml:space="preserve">Rice displayed the highest probability of simultaneous multi-country loss at 6.6% during El Niño phases—a tail risk with catastrophic food security implications [^378^]. La Niña, while affecting a smaller harvested area (9–13%), offers virtually no offsetting production gains, making it the more uniformly damaging phase [^378^].</w:t>
      </w:r>
    </w:p>
    <w:bookmarkEnd w:id="40"/>
    <w:bookmarkEnd w:id="41"/>
    <w:bookmarkStart w:id="45" w:name="central-bank-and-institutional-research"/>
    <w:p>
      <w:pPr>
        <w:pStyle w:val="Heading3"/>
      </w:pPr>
      <w:r>
        <w:t xml:space="preserve">2.2 Central Bank and Institutional Research</w:t>
      </w:r>
    </w:p>
    <w:bookmarkStart w:id="42" w:name="ecb-2023-up-to-9-food-price-risk"/>
    <w:p>
      <w:pPr>
        <w:pStyle w:val="Heading4"/>
      </w:pPr>
      <w:r>
        <w:t xml:space="preserve">2.2.1 ECB (2023): Up to 9% Food Price Risk</w:t>
      </w:r>
    </w:p>
    <w:p>
      <w:pPr>
        <w:pStyle w:val="FirstParagraph"/>
      </w:pPr>
      <w:r>
        <w:t xml:space="preserve">The ECB’s September 2023 Economic Bulletin contained a dedicated box on El Niño risks to global food commodity prices, applying local projections following Jordà (2005) [^6^]. The specification controlled for fertilizer prices, oil prices, and global industrial activity, addressing concerns that ENSO effects might spuriously capture coincident demand fluctuations [^6^].</w:t>
      </w:r>
    </w:p>
    <w:p>
      <w:pPr>
        <w:pStyle w:val="BodyText"/>
      </w:pPr>
      <w:r>
        <w:t xml:space="preserve">Their central finding: global food commodity prices could rise by up to 9% if El Niño conditions developed into a strong event, with the peak occurring 16 months after onset [^6^]. Commodity disaggregation revealed pronounced heterogeneity: soybeans, corn, and rice showed statistically significant large positive effects; wheat was upward but insignificant; coffee and cocoa responses were approximately zero [^6^]. Following the NOAA announcement on 8 June 2023 that El Niño had arrived, soybean futures rose 12% and corn 10%, while option-implied standard deviations increased 24% and 23% respectively [^6^]. Wheat exhibited a smaller response (prices +7%, standard deviation +13%), consistent with its lower historical sensitivity [^6^].</w:t>
      </w:r>
    </w:p>
    <w:bookmarkEnd w:id="42"/>
    <w:bookmarkStart w:id="43" w:name="X6889634e8629a282ba31032aed7ef6b827f6af3"/>
    <w:p>
      <w:pPr>
        <w:pStyle w:val="Heading4"/>
      </w:pPr>
      <w:r>
        <w:t xml:space="preserve">2.2.2 Banco de España (2024): The European Inflation Paradox</w:t>
      </w:r>
    </w:p>
    <w:p>
      <w:pPr>
        <w:pStyle w:val="FirstParagraph"/>
      </w:pPr>
      <w:r>
        <w:t xml:space="preserve">The Banco de España’s 2024 Working Paper introduced a critical qualification [^99^]. Using local projections with a granular database (1970–2023), they found that for the post-1997 sample, an intensification of El Niño</w:t>
      </w:r>
      <w:r>
        <w:t xml:space="preserve"> </w:t>
      </w:r>
      <w:r>
        <w:rPr>
          <w:iCs/>
          <w:i/>
        </w:rPr>
        <w:t xml:space="preserve">decreased</w:t>
      </w:r>
      <w:r>
        <w:t xml:space="preserve"> </w:t>
      </w:r>
      <w:r>
        <w:t xml:space="preserve">euro area headline inflation by ~0.3 percentage points 12 months post-shock, while La Niña increased it by 0.6pp [^99^]. Food inflation showed a larger negative response of 0.6–0.7pp to El Niño, versus a 1.0–1.1pp increase from La Niña [^99^].</w:t>
      </w:r>
    </w:p>
    <w:p>
      <w:pPr>
        <w:pStyle w:val="BodyText"/>
      </w:pPr>
      <w:r>
        <w:t xml:space="preserve">The reversal is attributed to three factors: composition effects (type of commodities affected), declining ENSO amplitude as producers adopted mitigation strategies, and the EU Common Agricultural Policy shielding European consumers from international price shocks [^99^]. When including the 1970s–1980s, the 1980s showed significant positive El Niño impacts that reversed post-1997 [^99^]. This finding implies El Niño may be a first-order concern for ECB inflation forecasts only during La Niña episodes.</w:t>
      </w:r>
    </w:p>
    <w:bookmarkEnd w:id="43"/>
    <w:bookmarkStart w:id="44" w:name="world-bank-2015-2023-stockpile-buffering"/>
    <w:p>
      <w:pPr>
        <w:pStyle w:val="Heading4"/>
      </w:pPr>
      <w:r>
        <w:t xml:space="preserve">2.2.3 World Bank (2015, 2023): Stockpile Buffering</w:t>
      </w:r>
    </w:p>
    <w:p>
      <w:pPr>
        <w:pStyle w:val="FirstParagraph"/>
      </w:pPr>
      <w:r>
        <w:t xml:space="preserve">The World Bank’s research emphasizes the role of global stockpiles in buffering El Niño’s price effects. The October 2015</w:t>
      </w:r>
      <w:r>
        <w:t xml:space="preserve"> </w:t>
      </w:r>
      <w:r>
        <w:rPr>
          <w:iCs/>
          <w:i/>
        </w:rPr>
        <w:t xml:space="preserve">Commodity Markets Outlook</w:t>
      </w:r>
      <w:r>
        <w:t xml:space="preserve"> </w:t>
      </w:r>
      <w:r>
        <w:t xml:space="preserve">noted that stock-to-use ratios for maize, wheat, and rice were well above 10-year averages and substantially higher than 2006–07 levels when the preceding food crisis began [^46^]. Ample supplies and weak global–domestic price links suggested the 2015–16 El Niño was unlikely to cause a global price spike, though significant local disruptions remained possible [^46^].</w:t>
      </w:r>
    </w:p>
    <w:p>
      <w:pPr>
        <w:pStyle w:val="BodyText"/>
      </w:pPr>
      <w:r>
        <w:t xml:space="preserve">Historical analysis found prices declined or remained flat in five of six major El Niño episodes when global inventories were above trend at onset [^46^]. The transmission mechanism operates through the stock-to-use ratio: ample buffer stocks allow production shortfalls to be absorbed via inventory drawdowns without dramatic price adjustments. The October 2023</w:t>
      </w:r>
      <w:r>
        <w:t xml:space="preserve"> </w:t>
      </w:r>
      <w:r>
        <w:rPr>
          <w:iCs/>
          <w:i/>
        </w:rPr>
        <w:t xml:space="preserve">Outlook</w:t>
      </w:r>
      <w:r>
        <w:t xml:space="preserve"> </w:t>
      </w:r>
      <w:r>
        <w:t xml:space="preserve">reinforced this, noting grain prices had declined &gt;11% in 2023 amid</w:t>
      </w:r>
      <w:r>
        <w:t xml:space="preserve"> </w:t>
      </w:r>
      <w:r>
        <w:t xml:space="preserve">“</w:t>
      </w:r>
      <w:r>
        <w:t xml:space="preserve">ample supplies and adequate stock levels,</w:t>
      </w:r>
      <w:r>
        <w:t xml:space="preserve">”</w:t>
      </w:r>
      <w:r>
        <w:t xml:space="preserve"> </w:t>
      </w:r>
      <w:r>
        <w:t xml:space="preserve">with further declines of 4% projected for 2024 [^656^]. ENSO’s price impact is thus not deterministic but conditional on the supply environment—a nonlinearity any quantitative model must capture.</w:t>
      </w:r>
    </w:p>
    <w:bookmarkEnd w:id="44"/>
    <w:bookmarkEnd w:id="45"/>
    <w:bookmarkStart w:id="50" w:name="quantitative-methodology-evolution"/>
    <w:p>
      <w:pPr>
        <w:pStyle w:val="Heading3"/>
      </w:pPr>
      <w:r>
        <w:t xml:space="preserve">2.3 Quantitative Methodology Evolution</w:t>
      </w:r>
    </w:p>
    <w:p>
      <w:pPr>
        <w:pStyle w:val="FirstParagraph"/>
      </w:pPr>
      <w:r>
        <w:t xml:space="preserve">The empirical literature has progressed through methodological generations reflecting broader trends in time series econometrics (see Figure 8 for a visual timeline).</w:t>
      </w:r>
    </w:p>
    <w:bookmarkStart w:id="46" w:name="vargvar-models"/>
    <w:p>
      <w:pPr>
        <w:pStyle w:val="Heading4"/>
      </w:pPr>
      <w:r>
        <w:t xml:space="preserve">2.3.1 VAR/GVAR Models</w:t>
      </w:r>
    </w:p>
    <w:p>
      <w:pPr>
        <w:pStyle w:val="FirstParagraph"/>
      </w:pPr>
      <w:r>
        <w:t xml:space="preserve">VAR systems treat all variables as jointly endogenous, with each variable regressed on its own lags and those of all others. Brunner’s (2002) four-variable VAR established the template [^97^]. The GVAR extends this to multi-country settings:</w:t>
      </w:r>
      <w:r>
        <w:t xml:space="preserve"> </w:t>
      </w:r>
      <m:oMath>
        <m:r>
          <m:t>N</m:t>
        </m:r>
      </m:oMath>
      <w:r>
        <w:t xml:space="preserve"> </w:t>
      </w:r>
      <w:r>
        <w:t xml:space="preserve">country-specific VARX* models with domestic variables, foreign cross-sectional averages, and global variables (including ENSO) treated as weakly exogenous [^578^][^81^]. The GVAR’s key advantage is capturing cross-market spillovers: an El Niño shock reducing Australian wheat production raises global wheat prices, affecting feed costs for Brazilian livestock producers even if Brazil experienced favorable conditions [^81^]. Model selection typically employs AIC, BIC, or Hannan-Quinn criteria for lag selection [^577^][^8^].</w:t>
      </w:r>
    </w:p>
    <w:bookmarkEnd w:id="46"/>
    <w:bookmarkStart w:id="47" w:name="X5e47b31ff8fc71f3633096bc918d94489f69ce4"/>
    <w:p>
      <w:pPr>
        <w:pStyle w:val="Heading4"/>
      </w:pPr>
      <w:r>
        <w:t xml:space="preserve">2.3.2 Local Projections: The Jordà (2005) Approach</w:t>
      </w:r>
    </w:p>
    <w:p>
      <w:pPr>
        <w:pStyle w:val="FirstParagraph"/>
      </w:pPr>
      <w:r>
        <w:t xml:space="preserve">Local projections directly regress future outcomes at horizon</w:t>
      </w:r>
      <w:r>
        <w:t xml:space="preserve"> </w:t>
      </w:r>
      <m:oMath>
        <m:r>
          <m:t>h</m:t>
        </m:r>
      </m:oMath>
      <w:r>
        <w:t xml:space="preserve"> </w:t>
      </w:r>
      <w:r>
        <w:t xml:space="preserve">on current covariates without specifying the full dynamic system:</w:t>
      </w:r>
      <w:r>
        <w:t xml:space="preserve"> </w:t>
      </w:r>
      <m:oMath>
        <m:sSub>
          <m:e>
            <m:r>
              <m:t>y</m:t>
            </m:r>
          </m:e>
          <m:sub>
            <m:r>
              <m:t>t</m:t>
            </m:r>
            <m:r>
              <m:rPr>
                <m:sty m:val="p"/>
              </m:rPr>
              <m:t>+</m:t>
            </m:r>
            <m:r>
              <m:t>h</m:t>
            </m:r>
          </m:sub>
        </m:sSub>
        <m:r>
          <m:rPr>
            <m:sty m:val="p"/>
          </m:rPr>
          <m:t>=</m:t>
        </m:r>
        <m:sSub>
          <m:e>
            <m:r>
              <m:t>α</m:t>
            </m:r>
          </m:e>
          <m:sub>
            <m:r>
              <m:t>h</m:t>
            </m:r>
          </m:sub>
        </m:sSub>
        <m:r>
          <m:rPr>
            <m:sty m:val="p"/>
          </m:rPr>
          <m:t>+</m:t>
        </m:r>
        <m:sSub>
          <m:e>
            <m:r>
              <m:t>β</m:t>
            </m:r>
          </m:e>
          <m:sub>
            <m:r>
              <m:t>h</m:t>
            </m:r>
          </m:sub>
        </m:sSub>
        <m:sSub>
          <m:e>
            <m:r>
              <m:rPr>
                <m:nor/>
                <m:sty m:val="p"/>
              </m:rPr>
              <m:t>shock</m:t>
            </m:r>
          </m:e>
          <m:sub>
            <m:r>
              <m:t>t</m:t>
            </m:r>
          </m:sub>
        </m:sSub>
        <m:r>
          <m:rPr>
            <m:sty m:val="p"/>
          </m:rPr>
          <m:t>+</m:t>
        </m:r>
        <m:sSub>
          <m:e>
            <m:r>
              <m:t>γ</m:t>
            </m:r>
          </m:e>
          <m:sub>
            <m:r>
              <m:t>h</m:t>
            </m:r>
          </m:sub>
        </m:sSub>
        <m:sSub>
          <m:e>
            <m:r>
              <m:rPr>
                <m:sty m:val="b"/>
              </m:rPr>
              <m:t>X</m:t>
            </m:r>
          </m:e>
          <m:sub>
            <m:r>
              <m:t>t</m:t>
            </m:r>
          </m:sub>
        </m:sSub>
        <m:r>
          <m:rPr>
            <m:sty m:val="p"/>
          </m:rPr>
          <m:t>+</m:t>
        </m:r>
        <m:sSub>
          <m:e>
            <m:r>
              <m:t>ε</m:t>
            </m:r>
          </m:e>
          <m:sub>
            <m:r>
              <m:t>t</m:t>
            </m:r>
            <m:r>
              <m:rPr>
                <m:sty m:val="p"/>
              </m:rPr>
              <m:t>+</m:t>
            </m:r>
            <m:r>
              <m:t>h</m:t>
            </m:r>
          </m:sub>
        </m:sSub>
      </m:oMath>
      <w:r>
        <w:t xml:space="preserve"> </w:t>
      </w:r>
      <w:r>
        <w:t xml:space="preserve">[^545^]. Jordà documented four advantages: simple OLS estimation, robustness to misspecification, straightforward inference, and flexible nonlinear extensions [^545^]. The ECB (2023) and Banco de España (2024) both employed LP for this robustness [^6^][^99^].</w:t>
      </w:r>
    </w:p>
    <w:p>
      <w:pPr>
        <w:pStyle w:val="BodyText"/>
      </w:pPr>
      <w:r>
        <w:t xml:space="preserve">Plagborg-Moller and Wolf (2021) resolved the LP-versus-VAR debate by proving both estimate the same impulse responses asymptotically with unrestricted lags [^600^]. In finite samples, VARs are more efficient under correct specification but more biased under misspecification; LPs offer greater robustness at the cost of higher variance at longer horizons [^601^]. Dufrénot et al. (2023) combined GVAR’s global dimension with LP flexibility in a GVARLP model with nonlinear regime-switching, confirming</w:t>
      </w:r>
      <w:r>
        <w:t xml:space="preserve"> </w:t>
      </w:r>
      <w:r>
        <w:t xml:space="preserve">“</w:t>
      </w:r>
      <w:r>
        <w:t xml:space="preserve">state-dependent</w:t>
      </w:r>
      <w:r>
        <w:t xml:space="preserve">”</w:t>
      </w:r>
      <w:r>
        <w:t xml:space="preserve"> </w:t>
      </w:r>
      <w:r>
        <w:t xml:space="preserve">ENSO effects [^109^].</w:t>
      </w:r>
    </w:p>
    <w:bookmarkEnd w:id="47"/>
    <w:bookmarkStart w:id="48" w:name="machine-learning-for-enso-prediction"/>
    <w:p>
      <w:pPr>
        <w:pStyle w:val="Heading4"/>
      </w:pPr>
      <w:r>
        <w:t xml:space="preserve">2.3.3 Machine Learning for ENSO Prediction</w:t>
      </w:r>
    </w:p>
    <w:p>
      <w:pPr>
        <w:pStyle w:val="FirstParagraph"/>
      </w:pPr>
      <w:r>
        <w:t xml:space="preserve">Ham, Kim, and Luo (2019), publishing in</w:t>
      </w:r>
      <w:r>
        <w:t xml:space="preserve"> </w:t>
      </w:r>
      <w:r>
        <w:rPr>
          <w:iCs/>
          <w:i/>
        </w:rPr>
        <w:t xml:space="preserve">Nature</w:t>
      </w:r>
      <w:r>
        <w:t xml:space="preserve">, demonstrated that a CNN with transfer learning achieves skilful ENSO forecasts up to 17 months, outperforming dynamical systems [^616^][^611^]. The 3D-STransformer (2025) extended this to 20-month predictions using 12 months of multivariate input [^567^]. For commodity applications, Bonato et al. (2023) used random forests within a HAR framework to capture nonlinear ENSO–variance links, finding improved accuracy</w:t>
      </w:r>
      <w:r>
        <w:t xml:space="preserve"> </w:t>
      </w:r>
      <w:r>
        <w:t xml:space="preserve">“</w:t>
      </w:r>
      <w:r>
        <w:t xml:space="preserve">especially at longer forecast horizons</w:t>
      </w:r>
      <w:r>
        <w:t xml:space="preserve">”</w:t>
      </w:r>
      <w:r>
        <w:t xml:space="preserve"> </w:t>
      </w:r>
      <w:r>
        <w:t xml:space="preserve">[^556^].</w:t>
      </w:r>
    </w:p>
    <w:p>
      <w:pPr>
        <w:pStyle w:val="BodyText"/>
      </w:pPr>
      <w:r>
        <w:t xml:space="preserve">The most consequential development is integrating physics-based climate model forecasts with econometric commodity models. A 2026 Cambridge study combined GCM ENSO forecasts with AR commodity models, establishing a three-level benchmark: (a) no ENSO as lower bound, (b) perfect future ENSO as upper bound, (c) AR econometric ENSO as intermediate [^1^]. GCM-ENSO forecasts achieved predictive power beyond 1 year for coconut oil—</w:t>
      </w:r>
      <w:r>
        <w:t xml:space="preserve">“</w:t>
      </w:r>
      <w:r>
        <w:t xml:space="preserve">longer than our ability to forecast ENSO itself, which is due to the lagged relationship between ENSO and the commodity</w:t>
      </w:r>
      <w:r>
        <w:t xml:space="preserve">”</w:t>
      </w:r>
      <w:r>
        <w:t xml:space="preserve"> </w:t>
      </w:r>
      <w:r>
        <w:t xml:space="preserve">[^1^]. Optimal ENSO-related lags were 6–8 months for vegetable oils: 8 months (coconut), 6 months (palm), 7 months (soybean oil) [^1^].</w:t>
      </w:r>
    </w:p>
    <w:bookmarkEnd w:id="48"/>
    <w:bookmarkStart w:id="49" w:name="X4fad822ffd2976bb04cccbb8aa37e80290c3cf3"/>
    <w:p>
      <w:pPr>
        <w:pStyle w:val="Heading4"/>
      </w:pPr>
      <w:r>
        <w:t xml:space="preserve">2.3.4 Nonlinear Models: Threshold and STAR Specifications</w:t>
      </w:r>
    </w:p>
    <w:p>
      <w:pPr>
        <w:pStyle w:val="FirstParagraph"/>
      </w:pPr>
      <w:r>
        <w:t xml:space="preserve">Ubilava’s (2018) TV-STAR framework remains the most comprehensive nonlinear application. The model allows autoregressive parameters to transition smoothly between regimes as a function of the ENSO index:</w:t>
      </w:r>
      <w:r>
        <w:t xml:space="preserve"> </w:t>
      </w:r>
      <m:oMath>
        <m:sSub>
          <m:e>
            <m:r>
              <m:t>y</m:t>
            </m:r>
          </m:e>
          <m:sub>
            <m:r>
              <m:t>t</m:t>
            </m:r>
          </m:sub>
        </m:sSub>
        <m:r>
          <m:rPr>
            <m:sty m:val="p"/>
          </m:rPr>
          <m:t>=</m:t>
        </m:r>
        <m:sSub>
          <m:e>
            <m:r>
              <m:rPr>
                <m:sty m:val="b"/>
              </m:rPr>
              <m:t>ϕ</m:t>
            </m:r>
          </m:e>
          <m:sub>
            <m:r>
              <m:t>1</m:t>
            </m:r>
          </m:sub>
        </m:sSub>
        <m:r>
          <m:rPr>
            <m:sty m:val="p"/>
          </m:rPr>
          <m:t>′</m:t>
        </m:r>
        <m:sSub>
          <m:e>
            <m:r>
              <m:rPr>
                <m:sty m:val="b"/>
              </m:rPr>
              <m:t>w</m:t>
            </m:r>
          </m:e>
          <m:sub>
            <m:r>
              <m:t>t</m:t>
            </m:r>
          </m:sub>
        </m:sSub>
        <m:r>
          <m:rPr>
            <m:sty m:val="p"/>
          </m:rPr>
          <m:t>+</m:t>
        </m:r>
        <m:d>
          <m:dPr>
            <m:begChr m:val="("/>
            <m:endChr m:val=")"/>
            <m:sepChr m:val=""/>
            <m:grow/>
          </m:dPr>
          <m:e>
            <m:sSub>
              <m:e>
                <m:r>
                  <m:rPr>
                    <m:sty m:val="b"/>
                  </m:rPr>
                  <m:t>ϕ</m:t>
                </m:r>
              </m:e>
              <m:sub>
                <m:r>
                  <m:t>2</m:t>
                </m:r>
              </m:sub>
            </m:sSub>
            <m:r>
              <m:rPr>
                <m:sty m:val="p"/>
              </m:rPr>
              <m:t>′</m:t>
            </m:r>
            <m:sSub>
              <m:e>
                <m:r>
                  <m:rPr>
                    <m:sty m:val="b"/>
                  </m:rPr>
                  <m:t>w</m:t>
                </m:r>
              </m:e>
              <m:sub>
                <m:r>
                  <m:t>t</m:t>
                </m:r>
              </m:sub>
            </m:sSub>
          </m:e>
        </m:d>
        <m:r>
          <m:t>G</m:t>
        </m:r>
        <m:d>
          <m:dPr>
            <m:begChr m:val="("/>
            <m:endChr m:val=")"/>
            <m:sepChr m:val=""/>
            <m:grow/>
          </m:dPr>
          <m:e>
            <m:sSub>
              <m:e>
                <m:r>
                  <m:t>s</m:t>
                </m:r>
              </m:e>
              <m:sub>
                <m:r>
                  <m:t>t</m:t>
                </m:r>
              </m:sub>
            </m:sSub>
            <m:r>
              <m:rPr>
                <m:sty m:val="p"/>
              </m:rPr>
              <m:t>;</m:t>
            </m:r>
            <m:r>
              <m:t>γ</m:t>
            </m:r>
            <m:r>
              <m:rPr>
                <m:sty m:val="p"/>
              </m:rPr>
              <m:t>,</m:t>
            </m:r>
            <m:r>
              <m:t>c</m:t>
            </m:r>
          </m:e>
        </m:d>
        <m:r>
          <m:rPr>
            <m:sty m:val="p"/>
          </m:rPr>
          <m:t>+</m:t>
        </m:r>
        <m:sSub>
          <m:e>
            <m:r>
              <m:t>ε</m:t>
            </m:r>
          </m:e>
          <m:sub>
            <m:r>
              <m:t>t</m:t>
            </m:r>
          </m:sub>
        </m:sSub>
      </m:oMath>
      <w:r>
        <w:t xml:space="preserve">, where</w:t>
      </w:r>
      <w:r>
        <w:t xml:space="preserve"> </w:t>
      </w:r>
      <m:oMath>
        <m:r>
          <m:t>G</m:t>
        </m:r>
        <m:d>
          <m:dPr>
            <m:begChr m:val="("/>
            <m:endChr m:val=")"/>
            <m:sepChr m:val=""/>
            <m:grow/>
          </m:dPr>
          <m:e>
            <m:r>
              <m:rPr>
                <m:sty m:val="p"/>
              </m:rPr>
              <m:t>⋅</m:t>
            </m:r>
          </m:e>
        </m:d>
      </m:oMath>
      <w:r>
        <w:t xml:space="preserve"> </w:t>
      </w:r>
      <w:r>
        <w:t xml:space="preserve">is a logistic transition function [^8^]. When</w:t>
      </w:r>
      <w:r>
        <w:t xml:space="preserve"> </w:t>
      </w:r>
      <m:oMath>
        <m:r>
          <m:t>γ</m:t>
        </m:r>
        <m:r>
          <m:rPr>
            <m:sty m:val="p"/>
          </m:rPr>
          <m:t>→</m:t>
        </m:r>
        <m:r>
          <m:rPr>
            <m:sty m:val="p"/>
          </m:rPr>
          <m:t>∞</m:t>
        </m:r>
      </m:oMath>
      <w:r>
        <w:t xml:space="preserve">, the model collapses to a threshold autoregression; when</w:t>
      </w:r>
      <w:r>
        <w:t xml:space="preserve"> </w:t>
      </w:r>
      <m:oMath>
        <m:r>
          <m:t>γ</m:t>
        </m:r>
        <m:r>
          <m:rPr>
            <m:sty m:val="p"/>
          </m:rPr>
          <m:t>→</m:t>
        </m:r>
        <m:r>
          <m:t>0</m:t>
        </m:r>
      </m:oMath>
      <w:r>
        <w:t xml:space="preserve">, it becomes linear. Model selection proceeds via a decision tree testing linearity and parameter constancy [^8^]. Applied to 46 commodity prices, this identified nonlinear ENSO effects in 20 of 46 series, concentrated in vegetable oils, tropical agriculture, and metals with concentrated mining exposure [^8^].</w:t>
      </w:r>
    </w:p>
    <w:p>
      <w:pPr>
        <w:pStyle w:val="BodyText"/>
      </w:pPr>
      <w:r>
        <w:t xml:space="preserve">Wavelet coherence analysis offers a complementary approach, decomposing the ENSO–commodity relationship in time-frequency domains. A 2022 study found significant correlations at 32–64 and 64–128 month frequencies, with stronger relationships post-2000 attributed to commodity market financialization [^547^]. This time-varying correlation structure has direct portfolio implications: hedge ratios from full-sample correlations may mislead during specific ENSO phases.</w:t>
      </w:r>
    </w:p>
    <w:p>
      <w:pPr>
        <w:pStyle w:val="BodyText"/>
      </w:pPr>
      <w:r>
        <w:rPr>
          <w:bCs/>
          <w:b/>
        </w:rPr>
        <w:t xml:space="preserve">Table 1: Comparison of Quantitative Methodologies for ENSO–Commodity Analysis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Dimension</w:t>
            </w:r>
          </w:p>
        </w:tc>
        <w:tc>
          <w:tcPr/>
          <w:p>
            <w:pPr>
              <w:pStyle w:val="Compact"/>
              <w:jc w:val="left"/>
            </w:pPr>
            <w:r>
              <w:t xml:space="preserve">VAR/GVAR</w:t>
            </w:r>
          </w:p>
        </w:tc>
        <w:tc>
          <w:tcPr/>
          <w:p>
            <w:pPr>
              <w:pStyle w:val="Compact"/>
              <w:jc w:val="left"/>
            </w:pPr>
            <w:r>
              <w:t xml:space="preserve">Local Projections</w:t>
            </w:r>
          </w:p>
        </w:tc>
        <w:tc>
          <w:tcPr/>
          <w:p>
            <w:pPr>
              <w:pStyle w:val="Compact"/>
              <w:jc w:val="left"/>
            </w:pPr>
            <w:r>
              <w:t xml:space="preserve">TV-STAR / Nonlinear</w:t>
            </w:r>
          </w:p>
        </w:tc>
        <w:tc>
          <w:tcPr/>
          <w:p>
            <w:pPr>
              <w:pStyle w:val="Compact"/>
              <w:jc w:val="left"/>
            </w:pPr>
            <w:r>
              <w:t xml:space="preserve">ML / Deep Learning</w:t>
            </w:r>
          </w:p>
        </w:tc>
        <w:tc>
          <w:tcPr/>
          <w:p>
            <w:pPr>
              <w:pStyle w:val="Compact"/>
              <w:jc w:val="left"/>
            </w:pPr>
            <w:r>
              <w:t xml:space="preserve">GCM-ENSO Integration</w:t>
            </w:r>
          </w:p>
        </w:tc>
      </w:tr>
      <w:tr>
        <w:tc>
          <w:tcPr/>
          <w:p>
            <w:pPr>
              <w:pStyle w:val="Compact"/>
              <w:jc w:val="left"/>
            </w:pPr>
            <w:r>
              <w:rPr>
                <w:bCs/>
                <w:b/>
              </w:rPr>
              <w:t xml:space="preserve">Representative Studies</w:t>
            </w:r>
          </w:p>
        </w:tc>
        <w:tc>
          <w:tcPr/>
          <w:p>
            <w:pPr>
              <w:pStyle w:val="Compact"/>
              <w:jc w:val="left"/>
            </w:pPr>
            <w:r>
              <w:t xml:space="preserve">Brunner (2002) [^97^]; Cashin et al. (2017) [^578^]</w:t>
            </w:r>
          </w:p>
        </w:tc>
        <w:tc>
          <w:tcPr/>
          <w:p>
            <w:pPr>
              <w:pStyle w:val="Compact"/>
              <w:jc w:val="left"/>
            </w:pPr>
            <w:r>
              <w:t xml:space="preserve">ECB (2023) [^6^]; Banco de España (2024) [^99^]</w:t>
            </w:r>
          </w:p>
        </w:tc>
        <w:tc>
          <w:tcPr/>
          <w:p>
            <w:pPr>
              <w:pStyle w:val="Compact"/>
              <w:jc w:val="left"/>
            </w:pPr>
            <w:r>
              <w:t xml:space="preserve">Ubilava (2018) [^8^]; Emediegwu (2024) [^544^]</w:t>
            </w:r>
          </w:p>
        </w:tc>
        <w:tc>
          <w:tcPr/>
          <w:p>
            <w:pPr>
              <w:pStyle w:val="Compact"/>
              <w:jc w:val="left"/>
            </w:pPr>
            <w:r>
              <w:t xml:space="preserve">Ham et al. (2019) [^616^]; Bonato et al. (2023) [^556^]</w:t>
            </w:r>
          </w:p>
        </w:tc>
        <w:tc>
          <w:tcPr/>
          <w:p>
            <w:pPr>
              <w:pStyle w:val="Compact"/>
              <w:jc w:val="left"/>
            </w:pPr>
            <w:r>
              <w:t xml:space="preserve">Cambridge (2026) [^1^]</w:t>
            </w:r>
          </w:p>
        </w:tc>
      </w:tr>
      <w:tr>
        <w:tc>
          <w:tcPr/>
          <w:p>
            <w:pPr>
              <w:pStyle w:val="Compact"/>
              <w:jc w:val="left"/>
            </w:pPr>
            <w:r>
              <w:rPr>
                <w:bCs/>
                <w:b/>
              </w:rPr>
              <w:t xml:space="preserve">Core Technique</w:t>
            </w:r>
          </w:p>
        </w:tc>
        <w:tc>
          <w:tcPr/>
          <w:p>
            <w:pPr>
              <w:pStyle w:val="Compact"/>
              <w:jc w:val="left"/>
            </w:pPr>
            <w:r>
              <w:t xml:space="preserve">Multi-equation system with lagged dependencies</w:t>
            </w:r>
          </w:p>
        </w:tc>
        <w:tc>
          <w:tcPr/>
          <w:p>
            <w:pPr>
              <w:pStyle w:val="Compact"/>
              <w:jc w:val="left"/>
            </w:pPr>
            <w:r>
              <w:t xml:space="preserve">Direct regression of future outcomes on current shocks</w:t>
            </w:r>
          </w:p>
        </w:tc>
        <w:tc>
          <w:tcPr/>
          <w:p>
            <w:pPr>
              <w:pStyle w:val="Compact"/>
              <w:jc w:val="left"/>
            </w:pPr>
            <w:r>
              <w:t xml:space="preserve">Smooth transition autoregression with regime-dependent parameters</w:t>
            </w:r>
          </w:p>
        </w:tc>
        <w:tc>
          <w:tcPr/>
          <w:p>
            <w:pPr>
              <w:pStyle w:val="Compact"/>
              <w:jc w:val="left"/>
            </w:pPr>
            <w:r>
              <w:t xml:space="preserve">CNN, Random Forest, Transformer</w:t>
            </w:r>
          </w:p>
        </w:tc>
        <w:tc>
          <w:tcPr/>
          <w:p>
            <w:pPr>
              <w:pStyle w:val="Compact"/>
              <w:jc w:val="left"/>
            </w:pPr>
            <w:r>
              <w:t xml:space="preserve">Physics-based climate forecasts + AR commodity models</w:t>
            </w:r>
          </w:p>
        </w:tc>
      </w:tr>
      <w:tr>
        <w:tc>
          <w:tcPr/>
          <w:p>
            <w:pPr>
              <w:pStyle w:val="Compact"/>
              <w:jc w:val="left"/>
            </w:pPr>
            <w:r>
              <w:rPr>
                <w:bCs/>
                <w:b/>
              </w:rPr>
              <w:t xml:space="preserve">Key Strength</w:t>
            </w:r>
          </w:p>
        </w:tc>
        <w:tc>
          <w:tcPr/>
          <w:p>
            <w:pPr>
              <w:pStyle w:val="Compact"/>
              <w:jc w:val="left"/>
            </w:pPr>
            <w:r>
              <w:t xml:space="preserve">Cross-variable spillovers; efficient if correctly specified</w:t>
            </w:r>
          </w:p>
        </w:tc>
        <w:tc>
          <w:tcPr/>
          <w:p>
            <w:pPr>
              <w:pStyle w:val="Compact"/>
              <w:jc w:val="left"/>
            </w:pPr>
            <w:r>
              <w:t xml:space="preserve">Robust to misspecification; simple inference; flexible extensions</w:t>
            </w:r>
          </w:p>
        </w:tc>
        <w:tc>
          <w:tcPr/>
          <w:p>
            <w:pPr>
              <w:pStyle w:val="Compact"/>
              <w:jc w:val="left"/>
            </w:pPr>
            <w:r>
              <w:t xml:space="preserve">Models regime-dependency; captures asymmetry; tests linearity</w:t>
            </w:r>
          </w:p>
        </w:tc>
        <w:tc>
          <w:tcPr/>
          <w:p>
            <w:pPr>
              <w:pStyle w:val="Compact"/>
              <w:jc w:val="left"/>
            </w:pPr>
            <w:r>
              <w:t xml:space="preserve">Handles high-dimensional inputs; long lead times</w:t>
            </w:r>
          </w:p>
        </w:tc>
        <w:tc>
          <w:tcPr/>
          <w:p>
            <w:pPr>
              <w:pStyle w:val="Compact"/>
              <w:jc w:val="left"/>
            </w:pPr>
            <w:r>
              <w:t xml:space="preserve">Physics-based; extends predictability beyond ENSO horizon</w:t>
            </w:r>
          </w:p>
        </w:tc>
      </w:tr>
      <w:tr>
        <w:tc>
          <w:tcPr/>
          <w:p>
            <w:pPr>
              <w:pStyle w:val="Compact"/>
              <w:jc w:val="left"/>
            </w:pPr>
            <w:r>
              <w:rPr>
                <w:bCs/>
                <w:b/>
              </w:rPr>
              <w:t xml:space="preserve">Key Limitation</w:t>
            </w:r>
          </w:p>
        </w:tc>
        <w:tc>
          <w:tcPr/>
          <w:p>
            <w:pPr>
              <w:pStyle w:val="Compact"/>
              <w:jc w:val="left"/>
            </w:pPr>
            <w:r>
              <w:t xml:space="preserve">Biased under misspecification; curse of dimensionality</w:t>
            </w:r>
          </w:p>
        </w:tc>
        <w:tc>
          <w:tcPr/>
          <w:p>
            <w:pPr>
              <w:pStyle w:val="Compact"/>
              <w:jc w:val="left"/>
            </w:pPr>
            <w:r>
              <w:t xml:space="preserve">Higher variance at long horizons; less efficient than VAR</w:t>
            </w:r>
          </w:p>
        </w:tc>
        <w:tc>
          <w:tcPr/>
          <w:p>
            <w:pPr>
              <w:pStyle w:val="Compact"/>
              <w:jc w:val="left"/>
            </w:pPr>
            <w:r>
              <w:t xml:space="preserve">Computationally intensive; requires large samples</w:t>
            </w:r>
          </w:p>
        </w:tc>
        <w:tc>
          <w:tcPr/>
          <w:p>
            <w:pPr>
              <w:pStyle w:val="Compact"/>
              <w:jc w:val="left"/>
            </w:pPr>
            <w:r>
              <w:t xml:space="preserve">Black-box; limited interpretability; data-hungry</w:t>
            </w:r>
          </w:p>
        </w:tc>
        <w:tc>
          <w:tcPr/>
          <w:p>
            <w:pPr>
              <w:pStyle w:val="Compact"/>
              <w:jc w:val="left"/>
            </w:pPr>
            <w:r>
              <w:t xml:space="preserve">Dependent on GCM accuracy; computationally expensive</w:t>
            </w:r>
          </w:p>
        </w:tc>
      </w:tr>
      <w:tr>
        <w:tc>
          <w:tcPr/>
          <w:p>
            <w:pPr>
              <w:pStyle w:val="Compact"/>
              <w:jc w:val="left"/>
            </w:pPr>
            <w:r>
              <w:rPr>
                <w:bCs/>
                <w:b/>
              </w:rPr>
              <w:t xml:space="preserve">ENSO Lead Time</w:t>
            </w:r>
          </w:p>
        </w:tc>
        <w:tc>
          <w:tcPr/>
          <w:p>
            <w:pPr>
              <w:pStyle w:val="Compact"/>
              <w:jc w:val="left"/>
            </w:pPr>
            <w:r>
              <w:t xml:space="preserve">Contemporaneous to 4–6 lags</w:t>
            </w:r>
          </w:p>
        </w:tc>
        <w:tc>
          <w:tcPr/>
          <w:p>
            <w:pPr>
              <w:pStyle w:val="Compact"/>
              <w:jc w:val="left"/>
            </w:pPr>
            <w:r>
              <w:t xml:space="preserve">Contemporaneous to 18-month horizons</w:t>
            </w:r>
          </w:p>
        </w:tc>
        <w:tc>
          <w:tcPr/>
          <w:p>
            <w:pPr>
              <w:pStyle w:val="Compact"/>
              <w:jc w:val="left"/>
            </w:pPr>
            <w:r>
              <w:t xml:space="preserve">Contemporaneous to 24-month horizons</w:t>
            </w:r>
          </w:p>
        </w:tc>
        <w:tc>
          <w:tcPr/>
          <w:p>
            <w:pPr>
              <w:pStyle w:val="Compact"/>
              <w:jc w:val="left"/>
            </w:pPr>
            <w:r>
              <w:t xml:space="preserve">Up to 17–20 months for ENSO prediction</w:t>
            </w:r>
          </w:p>
        </w:tc>
        <w:tc>
          <w:tcPr/>
          <w:p>
            <w:pPr>
              <w:pStyle w:val="Compact"/>
              <w:jc w:val="left"/>
            </w:pPr>
            <w:r>
              <w:t xml:space="preserve">Beyond 1 year for commodity forecasts</w:t>
            </w:r>
          </w:p>
        </w:tc>
      </w:tr>
      <w:tr>
        <w:tc>
          <w:tcPr/>
          <w:p>
            <w:pPr>
              <w:pStyle w:val="Compact"/>
              <w:jc w:val="left"/>
            </w:pPr>
            <w:r>
              <w:rPr>
                <w:bCs/>
                <w:b/>
              </w:rPr>
              <w:t xml:space="preserve">Nonlinearity</w:t>
            </w:r>
          </w:p>
        </w:tc>
        <w:tc>
          <w:tcPr/>
          <w:p>
            <w:pPr>
              <w:pStyle w:val="Compact"/>
              <w:jc w:val="left"/>
            </w:pPr>
            <w:r>
              <w:t xml:space="preserve">Requires extension (Markov-switching, threshold VAR)</w:t>
            </w:r>
          </w:p>
        </w:tc>
        <w:tc>
          <w:tcPr/>
          <w:p>
            <w:pPr>
              <w:pStyle w:val="Compact"/>
              <w:jc w:val="left"/>
            </w:pPr>
            <w:r>
              <w:t xml:space="preserve">Via interaction terms or state-dependence</w:t>
            </w:r>
          </w:p>
        </w:tc>
        <w:tc>
          <w:tcPr/>
          <w:p>
            <w:pPr>
              <w:pStyle w:val="Compact"/>
              <w:jc w:val="left"/>
            </w:pPr>
            <w:r>
              <w:t xml:space="preserve">Native regime-switching</w:t>
            </w:r>
          </w:p>
        </w:tc>
        <w:tc>
          <w:tcPr/>
          <w:p>
            <w:pPr>
              <w:pStyle w:val="Compact"/>
              <w:jc w:val="left"/>
            </w:pPr>
            <w:r>
              <w:t xml:space="preserve">Native universal approximator</w:t>
            </w:r>
          </w:p>
        </w:tc>
        <w:tc>
          <w:tcPr/>
          <w:p>
            <w:pPr>
              <w:pStyle w:val="Compact"/>
              <w:jc w:val="left"/>
            </w:pPr>
            <w:r>
              <w:t xml:space="preserve">Via nonlinear commodity model</w:t>
            </w:r>
          </w:p>
        </w:tc>
      </w:tr>
      <w:tr>
        <w:tc>
          <w:tcPr/>
          <w:p>
            <w:pPr>
              <w:pStyle w:val="Compact"/>
              <w:jc w:val="left"/>
            </w:pPr>
            <w:r>
              <w:rPr>
                <w:bCs/>
                <w:b/>
              </w:rPr>
              <w:t xml:space="preserve">Spillover Channels</w:t>
            </w:r>
          </w:p>
        </w:tc>
        <w:tc>
          <w:tcPr/>
          <w:p>
            <w:pPr>
              <w:pStyle w:val="Compact"/>
              <w:jc w:val="left"/>
            </w:pPr>
            <w:r>
              <w:t xml:space="preserve">Direct and indirect via cross-equation dynamics</w:t>
            </w:r>
          </w:p>
        </w:tc>
        <w:tc>
          <w:tcPr/>
          <w:p>
            <w:pPr>
              <w:pStyle w:val="Compact"/>
              <w:jc w:val="left"/>
            </w:pPr>
            <w:r>
              <w:t xml:space="preserve">Limited unless extended</w:t>
            </w:r>
          </w:p>
        </w:tc>
        <w:tc>
          <w:tcPr/>
          <w:p>
            <w:pPr>
              <w:pStyle w:val="Compact"/>
              <w:jc w:val="left"/>
            </w:pPr>
            <w:r>
              <w:t xml:space="preserve">Indirect via regime transitions</w:t>
            </w:r>
          </w:p>
        </w:tc>
        <w:tc>
          <w:tcPr/>
          <w:p>
            <w:pPr>
              <w:pStyle w:val="Compact"/>
              <w:jc w:val="left"/>
            </w:pPr>
            <w:r>
              <w:t xml:space="preserve">Implicit in feature interactions</w:t>
            </w:r>
          </w:p>
        </w:tc>
        <w:tc>
          <w:tcPr/>
          <w:p>
            <w:pPr>
              <w:pStyle w:val="Compact"/>
              <w:jc w:val="left"/>
            </w:pPr>
            <w:r>
              <w:t xml:space="preserve">Explicit via multi-commodity AR structure</w:t>
            </w:r>
          </w:p>
        </w:tc>
      </w:tr>
    </w:tbl>
    <w:p>
      <w:pPr>
        <w:pStyle w:val="BodyText"/>
      </w:pPr>
      <w:r>
        <w:t xml:space="preserve">The methodology comparison reveals a clear flexibility–interpretability trade-off. VAR/GVAR systems offer transparent cross-market spillover channels but impose linearity. Local projections sacrifice efficiency for robustness. TV-STAR models capture regime-dependency at computational cost. Machine learning handles high-dimensional inputs but sacrifices interpretability. The emerging GCM-ENSO paradigm offers the most extended forecast horizons but depends on climate model accuracy. These trade-offs suggest a hybrid approach for operational modeling: using GCM-ENSO forecasts as exogenous inputs to a nonlinear commodity model that captures regime-dependent effects while maintaining enough structure for economic interpretation.</w:t>
      </w:r>
    </w:p>
    <w:p>
      <w:pPr>
        <w:pStyle w:val="BodyText"/>
      </w:pPr>
      <w:r>
        <w:rPr>
          <w:bCs/>
          <w:b/>
        </w:rPr>
        <w:t xml:space="preserve">Table 2: Summary of Key Studies in the ENSO–Commodity Price Literature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Study</w:t>
            </w:r>
          </w:p>
        </w:tc>
        <w:tc>
          <w:tcPr/>
          <w:p>
            <w:pPr>
              <w:pStyle w:val="Compact"/>
              <w:jc w:val="left"/>
            </w:pPr>
            <w:r>
              <w:t xml:space="preserve">Year</w:t>
            </w:r>
          </w:p>
        </w:tc>
        <w:tc>
          <w:tcPr/>
          <w:p>
            <w:pPr>
              <w:pStyle w:val="Compact"/>
              <w:jc w:val="left"/>
            </w:pPr>
            <w:r>
              <w:t xml:space="preserve">Method</w:t>
            </w:r>
          </w:p>
        </w:tc>
        <w:tc>
          <w:tcPr/>
          <w:p>
            <w:pPr>
              <w:pStyle w:val="Compact"/>
              <w:jc w:val="left"/>
            </w:pPr>
            <w:r>
              <w:t xml:space="preserve">Key Finding</w:t>
            </w:r>
          </w:p>
        </w:tc>
        <w:tc>
          <w:tcPr/>
          <w:p>
            <w:pPr>
              <w:pStyle w:val="Compact"/>
              <w:jc w:val="left"/>
            </w:pPr>
            <w:r>
              <w:t xml:space="preserve">Citation</w:t>
            </w:r>
          </w:p>
        </w:tc>
      </w:tr>
      <w:tr>
        <w:tc>
          <w:tcPr/>
          <w:p>
            <w:pPr>
              <w:pStyle w:val="Compact"/>
              <w:jc w:val="left"/>
            </w:pPr>
            <w:r>
              <w:t xml:space="preserve">Brunner (IMF)</w:t>
            </w:r>
          </w:p>
        </w:tc>
        <w:tc>
          <w:tcPr/>
          <w:p>
            <w:pPr>
              <w:pStyle w:val="Compact"/>
              <w:jc w:val="left"/>
            </w:pPr>
            <w:r>
              <w:t xml:space="preserve">2002</w:t>
            </w:r>
          </w:p>
        </w:tc>
        <w:tc>
          <w:tcPr/>
          <w:p>
            <w:pPr>
              <w:pStyle w:val="Compact"/>
              <w:jc w:val="left"/>
            </w:pPr>
            <w:r>
              <w:t xml:space="preserve">VAR</w:t>
            </w:r>
          </w:p>
        </w:tc>
        <w:tc>
          <w:tcPr/>
          <w:p>
            <w:pPr>
              <w:pStyle w:val="Compact"/>
              <w:jc w:val="left"/>
            </w:pPr>
            <w:r>
              <w:t xml:space="preserve">ENSO explains ~20% of commodity price inflation; 3.5–4pp price rise per 1 std dev shock; food: 21.3% at 16 quarters [^97^]</w:t>
            </w:r>
          </w:p>
        </w:tc>
        <w:tc>
          <w:tcPr/>
          <w:p>
            <w:pPr>
              <w:pStyle w:val="Compact"/>
              <w:jc w:val="left"/>
            </w:pPr>
            <w:r>
              <w:t xml:space="preserve">[^97^]</w:t>
            </w:r>
          </w:p>
        </w:tc>
      </w:tr>
      <w:tr>
        <w:tc>
          <w:tcPr/>
          <w:p>
            <w:pPr>
              <w:pStyle w:val="Compact"/>
              <w:jc w:val="left"/>
            </w:pPr>
            <w:r>
              <w:t xml:space="preserve">Cashin, Mohaddes, Raissi</w:t>
            </w:r>
          </w:p>
        </w:tc>
        <w:tc>
          <w:tcPr/>
          <w:p>
            <w:pPr>
              <w:pStyle w:val="Compact"/>
              <w:jc w:val="left"/>
            </w:pPr>
            <w:r>
              <w:t xml:space="preserve">2017</w:t>
            </w:r>
          </w:p>
        </w:tc>
        <w:tc>
          <w:tcPr/>
          <w:p>
            <w:pPr>
              <w:pStyle w:val="Compact"/>
              <w:jc w:val="left"/>
            </w:pPr>
            <w:r>
              <w:t xml:space="preserve">GVAR (21 countries)</w:t>
            </w:r>
          </w:p>
        </w:tc>
        <w:tc>
          <w:tcPr/>
          <w:p>
            <w:pPr>
              <w:pStyle w:val="Compact"/>
              <w:jc w:val="left"/>
            </w:pPr>
            <w:r>
              <w:t xml:space="preserve">Non-energy prices +5.31% at 4 quarters; oil +13.87%; heterogeneous country effects [^578^][^81^]</w:t>
            </w:r>
          </w:p>
        </w:tc>
        <w:tc>
          <w:tcPr/>
          <w:p>
            <w:pPr>
              <w:pStyle w:val="Compact"/>
              <w:jc w:val="left"/>
            </w:pPr>
            <w:r>
              <w:t xml:space="preserve">[^578^]</w:t>
            </w:r>
          </w:p>
        </w:tc>
      </w:tr>
      <w:tr>
        <w:tc>
          <w:tcPr/>
          <w:p>
            <w:pPr>
              <w:pStyle w:val="Compact"/>
              <w:jc w:val="left"/>
            </w:pPr>
            <w:r>
              <w:t xml:space="preserve">Ubilava</w:t>
            </w:r>
          </w:p>
        </w:tc>
        <w:tc>
          <w:tcPr/>
          <w:p>
            <w:pPr>
              <w:pStyle w:val="Compact"/>
              <w:jc w:val="left"/>
            </w:pPr>
            <w:r>
              <w:t xml:space="preserve">2018</w:t>
            </w:r>
          </w:p>
        </w:tc>
        <w:tc>
          <w:tcPr/>
          <w:p>
            <w:pPr>
              <w:pStyle w:val="Compact"/>
              <w:jc w:val="left"/>
            </w:pPr>
            <w:r>
              <w:t xml:space="preserve">TV-STAR</w:t>
            </w:r>
          </w:p>
        </w:tc>
        <w:tc>
          <w:tcPr/>
          <w:p>
            <w:pPr>
              <w:pStyle w:val="Compact"/>
              <w:jc w:val="left"/>
            </w:pPr>
            <w:r>
              <w:t xml:space="preserve">2–5pp price changes; 15–30% vegetable oil variation attributable; regime-dependent effects [^8^]</w:t>
            </w:r>
          </w:p>
        </w:tc>
        <w:tc>
          <w:tcPr/>
          <w:p>
            <w:pPr>
              <w:pStyle w:val="Compact"/>
              <w:jc w:val="left"/>
            </w:pPr>
            <w:r>
              <w:t xml:space="preserve">[^8^]</w:t>
            </w:r>
          </w:p>
        </w:tc>
      </w:tr>
      <w:tr>
        <w:tc>
          <w:tcPr/>
          <w:p>
            <w:pPr>
              <w:pStyle w:val="Compact"/>
              <w:jc w:val="left"/>
            </w:pPr>
            <w:r>
              <w:t xml:space="preserve">Iizumi et al. (</w:t>
            </w:r>
            <w:r>
              <w:rPr>
                <w:iCs/>
                <w:i/>
              </w:rPr>
              <w:t xml:space="preserve">Nature Comm.</w:t>
            </w:r>
            <w:r>
              <w:t xml:space="preserve">)</w:t>
            </w:r>
          </w:p>
        </w:tc>
        <w:tc>
          <w:tcPr/>
          <w:p>
            <w:pPr>
              <w:pStyle w:val="Compact"/>
              <w:jc w:val="left"/>
            </w:pPr>
            <w:r>
              <w:t xml:space="preserve">2014</w:t>
            </w:r>
          </w:p>
        </w:tc>
        <w:tc>
          <w:tcPr/>
          <w:p>
            <w:pPr>
              <w:pStyle w:val="Compact"/>
              <w:jc w:val="left"/>
            </w:pPr>
            <w:r>
              <w:t xml:space="preserve">Global yield analysis</w:t>
            </w:r>
          </w:p>
        </w:tc>
        <w:tc>
          <w:tcPr/>
          <w:p>
            <w:pPr>
              <w:pStyle w:val="Compact"/>
              <w:jc w:val="left"/>
            </w:pPr>
            <w:r>
              <w:t xml:space="preserve">Soybean +2.1–5.4%; maize −4.3%; 6.6% simultaneous rice loss probability [^378^]</w:t>
            </w:r>
          </w:p>
        </w:tc>
        <w:tc>
          <w:tcPr/>
          <w:p>
            <w:pPr>
              <w:pStyle w:val="Compact"/>
              <w:jc w:val="left"/>
            </w:pPr>
            <w:r>
              <w:t xml:space="preserve">[^378^]</w:t>
            </w:r>
          </w:p>
        </w:tc>
      </w:tr>
      <w:tr>
        <w:tc>
          <w:tcPr/>
          <w:p>
            <w:pPr>
              <w:pStyle w:val="Compact"/>
              <w:jc w:val="left"/>
            </w:pPr>
            <w:r>
              <w:t xml:space="preserve">ECB Economic Bulletin</w:t>
            </w:r>
          </w:p>
        </w:tc>
        <w:tc>
          <w:tcPr/>
          <w:p>
            <w:pPr>
              <w:pStyle w:val="Compact"/>
              <w:jc w:val="left"/>
            </w:pPr>
            <w:r>
              <w:t xml:space="preserve">2023</w:t>
            </w:r>
          </w:p>
        </w:tc>
        <w:tc>
          <w:tcPr/>
          <w:p>
            <w:pPr>
              <w:pStyle w:val="Compact"/>
              <w:jc w:val="left"/>
            </w:pPr>
            <w:r>
              <w:t xml:space="preserve">Local projections</w:t>
            </w:r>
          </w:p>
        </w:tc>
        <w:tc>
          <w:tcPr/>
          <w:p>
            <w:pPr>
              <w:pStyle w:val="Compact"/>
              <w:jc w:val="left"/>
            </w:pPr>
            <w:r>
              <w:t xml:space="preserve">Up to 9% food price rise for strong El Niño; peak at 16 months; soybeans/corn/rice most affected [^6^]</w:t>
            </w:r>
          </w:p>
        </w:tc>
        <w:tc>
          <w:tcPr/>
          <w:p>
            <w:pPr>
              <w:pStyle w:val="Compact"/>
              <w:jc w:val="left"/>
            </w:pPr>
            <w:r>
              <w:t xml:space="preserve">[^6^]</w:t>
            </w:r>
          </w:p>
        </w:tc>
      </w:tr>
      <w:tr>
        <w:tc>
          <w:tcPr/>
          <w:p>
            <w:pPr>
              <w:pStyle w:val="Compact"/>
              <w:jc w:val="left"/>
            </w:pPr>
            <w:r>
              <w:t xml:space="preserve">Banco de España</w:t>
            </w:r>
          </w:p>
        </w:tc>
        <w:tc>
          <w:tcPr/>
          <w:p>
            <w:pPr>
              <w:pStyle w:val="Compact"/>
              <w:jc w:val="left"/>
            </w:pPr>
            <w:r>
              <w:t xml:space="preserve">2024</w:t>
            </w:r>
          </w:p>
        </w:tc>
        <w:tc>
          <w:tcPr/>
          <w:p>
            <w:pPr>
              <w:pStyle w:val="Compact"/>
              <w:jc w:val="left"/>
            </w:pPr>
            <w:r>
              <w:t xml:space="preserve">Local projections</w:t>
            </w:r>
          </w:p>
        </w:tc>
        <w:tc>
          <w:tcPr/>
          <w:p>
            <w:pPr>
              <w:pStyle w:val="Compact"/>
              <w:jc w:val="left"/>
            </w:pPr>
            <w:r>
              <w:t xml:space="preserve">El Niño</w:t>
            </w:r>
            <w:r>
              <w:t xml:space="preserve"> </w:t>
            </w:r>
            <w:r>
              <w:rPr>
                <w:iCs/>
                <w:i/>
              </w:rPr>
              <w:t xml:space="preserve">decreases</w:t>
            </w:r>
            <w:r>
              <w:t xml:space="preserve"> </w:t>
            </w:r>
            <w:r>
              <w:t xml:space="preserve">EA inflation 0.3pp post-1997; La Niña +0.6pp; CAP shields consumers [^99^]</w:t>
            </w:r>
          </w:p>
        </w:tc>
        <w:tc>
          <w:tcPr/>
          <w:p>
            <w:pPr>
              <w:pStyle w:val="Compact"/>
              <w:jc w:val="left"/>
            </w:pPr>
            <w:r>
              <w:t xml:space="preserve">[^99^]</w:t>
            </w:r>
          </w:p>
        </w:tc>
      </w:tr>
      <w:tr>
        <w:tc>
          <w:tcPr/>
          <w:p>
            <w:pPr>
              <w:pStyle w:val="Compact"/>
              <w:jc w:val="left"/>
            </w:pPr>
            <w:r>
              <w:t xml:space="preserve">World Bank CMO</w:t>
            </w:r>
          </w:p>
        </w:tc>
        <w:tc>
          <w:tcPr/>
          <w:p>
            <w:pPr>
              <w:pStyle w:val="Compact"/>
              <w:jc w:val="left"/>
            </w:pPr>
            <w:r>
              <w:t xml:space="preserve">2015, 2023</w:t>
            </w:r>
          </w:p>
        </w:tc>
        <w:tc>
          <w:tcPr/>
          <w:p>
            <w:pPr>
              <w:pStyle w:val="Compact"/>
              <w:jc w:val="left"/>
            </w:pPr>
            <w:r>
              <w:t xml:space="preserve">Historical analysis</w:t>
            </w:r>
          </w:p>
        </w:tc>
        <w:tc>
          <w:tcPr/>
          <w:p>
            <w:pPr>
              <w:pStyle w:val="Compact"/>
              <w:jc w:val="left"/>
            </w:pPr>
            <w:r>
              <w:t xml:space="preserve">Prices declined/flat in 5 of 6 episodes when stocks ample; stock-to-use ratio critical [^46^][^656^]</w:t>
            </w:r>
          </w:p>
        </w:tc>
        <w:tc>
          <w:tcPr/>
          <w:p>
            <w:pPr>
              <w:pStyle w:val="Compact"/>
              <w:jc w:val="left"/>
            </w:pPr>
            <w:r>
              <w:t xml:space="preserve">[^46^]</w:t>
            </w:r>
          </w:p>
        </w:tc>
      </w:tr>
      <w:tr>
        <w:tc>
          <w:tcPr/>
          <w:p>
            <w:pPr>
              <w:pStyle w:val="Compact"/>
              <w:jc w:val="left"/>
            </w:pPr>
            <w:r>
              <w:t xml:space="preserve">Jordà</w:t>
            </w:r>
          </w:p>
        </w:tc>
        <w:tc>
          <w:tcPr/>
          <w:p>
            <w:pPr>
              <w:pStyle w:val="Compact"/>
              <w:jc w:val="left"/>
            </w:pPr>
            <w:r>
              <w:t xml:space="preserve">2005</w:t>
            </w:r>
          </w:p>
        </w:tc>
        <w:tc>
          <w:tcPr/>
          <w:p>
            <w:pPr>
              <w:pStyle w:val="Compact"/>
              <w:jc w:val="left"/>
            </w:pPr>
            <w:r>
              <w:t xml:space="preserve">LP (methodological)</w:t>
            </w:r>
          </w:p>
        </w:tc>
        <w:tc>
          <w:tcPr/>
          <w:p>
            <w:pPr>
              <w:pStyle w:val="Compact"/>
              <w:jc w:val="left"/>
            </w:pPr>
            <w:r>
              <w:t xml:space="preserve">Direct OLS IRF estimation; robust to misspecification; flexible nonlinear extensions [^545^]</w:t>
            </w:r>
          </w:p>
        </w:tc>
        <w:tc>
          <w:tcPr/>
          <w:p>
            <w:pPr>
              <w:pStyle w:val="Compact"/>
              <w:jc w:val="left"/>
            </w:pPr>
            <w:r>
              <w:t xml:space="preserve">[^545^]</w:t>
            </w:r>
          </w:p>
        </w:tc>
      </w:tr>
      <w:tr>
        <w:tc>
          <w:tcPr/>
          <w:p>
            <w:pPr>
              <w:pStyle w:val="Compact"/>
              <w:jc w:val="left"/>
            </w:pPr>
            <w:r>
              <w:t xml:space="preserve">Plagborg-Moller, Wolf</w:t>
            </w:r>
          </w:p>
        </w:tc>
        <w:tc>
          <w:tcPr/>
          <w:p>
            <w:pPr>
              <w:pStyle w:val="Compact"/>
              <w:jc w:val="left"/>
            </w:pPr>
            <w:r>
              <w:t xml:space="preserve">2021</w:t>
            </w:r>
          </w:p>
        </w:tc>
        <w:tc>
          <w:tcPr/>
          <w:p>
            <w:pPr>
              <w:pStyle w:val="Compact"/>
              <w:jc w:val="left"/>
            </w:pPr>
            <w:r>
              <w:t xml:space="preserve">Theoretical proof</w:t>
            </w:r>
          </w:p>
        </w:tc>
        <w:tc>
          <w:tcPr/>
          <w:p>
            <w:pPr>
              <w:pStyle w:val="Compact"/>
              <w:jc w:val="left"/>
            </w:pPr>
            <w:r>
              <w:t xml:space="preserve">LP and VAR estimate same population IRFs asymptotically; finite-sample bias-variance trade-off [^600^]</w:t>
            </w:r>
          </w:p>
        </w:tc>
        <w:tc>
          <w:tcPr/>
          <w:p>
            <w:pPr>
              <w:pStyle w:val="Compact"/>
              <w:jc w:val="left"/>
            </w:pPr>
            <w:r>
              <w:t xml:space="preserve">[^600^]</w:t>
            </w:r>
          </w:p>
        </w:tc>
      </w:tr>
      <w:tr>
        <w:tc>
          <w:tcPr/>
          <w:p>
            <w:pPr>
              <w:pStyle w:val="Compact"/>
              <w:jc w:val="left"/>
            </w:pPr>
            <w:r>
              <w:t xml:space="preserve">Ham, Kim, Luo (</w:t>
            </w:r>
            <w:r>
              <w:rPr>
                <w:iCs/>
                <w:i/>
              </w:rPr>
              <w:t xml:space="preserve">Nature</w:t>
            </w:r>
            <w:r>
              <w:t xml:space="preserve">)</w:t>
            </w:r>
          </w:p>
        </w:tc>
        <w:tc>
          <w:tcPr/>
          <w:p>
            <w:pPr>
              <w:pStyle w:val="Compact"/>
              <w:jc w:val="left"/>
            </w:pPr>
            <w:r>
              <w:t xml:space="preserve">2019</w:t>
            </w:r>
          </w:p>
        </w:tc>
        <w:tc>
          <w:tcPr/>
          <w:p>
            <w:pPr>
              <w:pStyle w:val="Compact"/>
              <w:jc w:val="left"/>
            </w:pPr>
            <w:r>
              <w:t xml:space="preserve">CNN</w:t>
            </w:r>
          </w:p>
        </w:tc>
        <w:tc>
          <w:tcPr/>
          <w:p>
            <w:pPr>
              <w:pStyle w:val="Compact"/>
              <w:jc w:val="left"/>
            </w:pPr>
            <w:r>
              <w:t xml:space="preserve">17-month ENSO forecast skill; outperforms dynamical models; all-season correlation advantage [^616^]</w:t>
            </w:r>
          </w:p>
        </w:tc>
        <w:tc>
          <w:tcPr/>
          <w:p>
            <w:pPr>
              <w:pStyle w:val="Compact"/>
              <w:jc w:val="left"/>
            </w:pPr>
            <w:r>
              <w:t xml:space="preserve">[^616^]</w:t>
            </w:r>
          </w:p>
        </w:tc>
      </w:tr>
      <w:tr>
        <w:tc>
          <w:tcPr/>
          <w:p>
            <w:pPr>
              <w:pStyle w:val="Compact"/>
              <w:jc w:val="left"/>
            </w:pPr>
            <w:r>
              <w:t xml:space="preserve">Dufrénot et al.</w:t>
            </w:r>
          </w:p>
        </w:tc>
        <w:tc>
          <w:tcPr/>
          <w:p>
            <w:pPr>
              <w:pStyle w:val="Compact"/>
              <w:jc w:val="left"/>
            </w:pPr>
            <w:r>
              <w:t xml:space="preserve">2023</w:t>
            </w:r>
          </w:p>
        </w:tc>
        <w:tc>
          <w:tcPr/>
          <w:p>
            <w:pPr>
              <w:pStyle w:val="Compact"/>
              <w:jc w:val="left"/>
            </w:pPr>
            <w:r>
              <w:t xml:space="preserve">GVARLP + regime-switching</w:t>
            </w:r>
          </w:p>
        </w:tc>
        <w:tc>
          <w:tcPr/>
          <w:p>
            <w:pPr>
              <w:pStyle w:val="Compact"/>
              <w:jc w:val="left"/>
            </w:pPr>
            <w:r>
              <w:t xml:space="preserve">State-dependent ENSO effects; asymmetric El Niño/La Niña impacts on food prices [^109^]</w:t>
            </w:r>
          </w:p>
        </w:tc>
        <w:tc>
          <w:tcPr/>
          <w:p>
            <w:pPr>
              <w:pStyle w:val="Compact"/>
              <w:jc w:val="left"/>
            </w:pPr>
            <w:r>
              <w:t xml:space="preserve">[^109^]</w:t>
            </w:r>
          </w:p>
        </w:tc>
      </w:tr>
      <w:tr>
        <w:tc>
          <w:tcPr/>
          <w:p>
            <w:pPr>
              <w:pStyle w:val="Compact"/>
              <w:jc w:val="left"/>
            </w:pPr>
            <w:r>
              <w:t xml:space="preserve">Cambridge (O’Kane et al.)</w:t>
            </w:r>
          </w:p>
        </w:tc>
        <w:tc>
          <w:tcPr/>
          <w:p>
            <w:pPr>
              <w:pStyle w:val="Compact"/>
              <w:jc w:val="left"/>
            </w:pPr>
            <w:r>
              <w:t xml:space="preserve">2026</w:t>
            </w:r>
          </w:p>
        </w:tc>
        <w:tc>
          <w:tcPr/>
          <w:p>
            <w:pPr>
              <w:pStyle w:val="Compact"/>
              <w:jc w:val="left"/>
            </w:pPr>
            <w:r>
              <w:t xml:space="preserve">GCM-ENSO + AR</w:t>
            </w:r>
          </w:p>
        </w:tc>
        <w:tc>
          <w:tcPr/>
          <w:p>
            <w:pPr>
              <w:pStyle w:val="Compact"/>
              <w:jc w:val="left"/>
            </w:pPr>
            <w:r>
              <w:t xml:space="preserve">Predictive skill beyond 1 year for coconut oil; 6–8 month optimal lags for vegetable oils [^1^]</w:t>
            </w:r>
          </w:p>
        </w:tc>
        <w:tc>
          <w:tcPr/>
          <w:p>
            <w:pPr>
              <w:pStyle w:val="Compact"/>
              <w:jc w:val="left"/>
            </w:pPr>
            <w:r>
              <w:t xml:space="preserve">[^1^]</w:t>
            </w:r>
          </w:p>
        </w:tc>
      </w:tr>
      <w:tr>
        <w:tc>
          <w:tcPr/>
          <w:p>
            <w:pPr>
              <w:pStyle w:val="Compact"/>
              <w:jc w:val="left"/>
            </w:pPr>
            <w:r>
              <w:t xml:space="preserve">Bastianin, Lanza, Manera</w:t>
            </w:r>
          </w:p>
        </w:tc>
        <w:tc>
          <w:tcPr/>
          <w:p>
            <w:pPr>
              <w:pStyle w:val="Compact"/>
              <w:jc w:val="left"/>
            </w:pPr>
            <w:r>
              <w:t xml:space="preserve">2018</w:t>
            </w:r>
          </w:p>
        </w:tc>
        <w:tc>
          <w:tcPr/>
          <w:p>
            <w:pPr>
              <w:pStyle w:val="Compact"/>
              <w:jc w:val="left"/>
            </w:pPr>
            <w:r>
              <w:t xml:space="preserve">Structural VAR (coffee)</w:t>
            </w:r>
          </w:p>
        </w:tc>
        <w:tc>
          <w:tcPr/>
          <w:p>
            <w:pPr>
              <w:pStyle w:val="Compact"/>
              <w:jc w:val="left"/>
            </w:pPr>
            <w:r>
              <w:t xml:space="preserve">ENSO explains 0.2% coffee price variation short-run, 6% long-run; demand shocks dominate [^583^]</w:t>
            </w:r>
          </w:p>
        </w:tc>
        <w:tc>
          <w:tcPr/>
          <w:p>
            <w:pPr>
              <w:pStyle w:val="Compact"/>
              <w:jc w:val="left"/>
            </w:pPr>
            <w:r>
              <w:t xml:space="preserve">[^583^]</w:t>
            </w:r>
          </w:p>
        </w:tc>
      </w:tr>
      <w:tr>
        <w:tc>
          <w:tcPr/>
          <w:p>
            <w:pPr>
              <w:pStyle w:val="Compact"/>
              <w:jc w:val="left"/>
            </w:pPr>
            <w:r>
              <w:t xml:space="preserve">Cao et al.</w:t>
            </w:r>
          </w:p>
        </w:tc>
        <w:tc>
          <w:tcPr/>
          <w:p>
            <w:pPr>
              <w:pStyle w:val="Compact"/>
              <w:jc w:val="left"/>
            </w:pPr>
            <w:r>
              <w:t xml:space="preserve">2023</w:t>
            </w:r>
          </w:p>
        </w:tc>
        <w:tc>
          <w:tcPr/>
          <w:p>
            <w:pPr>
              <w:pStyle w:val="Compact"/>
              <w:jc w:val="left"/>
            </w:pPr>
            <w:r>
              <w:t xml:space="preserve">Updated yield analysis</w:t>
            </w:r>
          </w:p>
        </w:tc>
        <w:tc>
          <w:tcPr/>
          <w:p>
            <w:pPr>
              <w:pStyle w:val="Compact"/>
              <w:jc w:val="left"/>
            </w:pPr>
            <w:r>
              <w:t xml:space="preserve">Wheat −1.32%, rice −1.33%, maize −0.37%, soybean +1.9% under El Niño [^481^]</w:t>
            </w:r>
          </w:p>
        </w:tc>
        <w:tc>
          <w:tcPr/>
          <w:p>
            <w:pPr>
              <w:pStyle w:val="Compact"/>
              <w:jc w:val="left"/>
            </w:pPr>
            <w:r>
              <w:t xml:space="preserve">[^481^]</w:t>
            </w:r>
          </w:p>
        </w:tc>
      </w:tr>
    </w:tbl>
    <w:p>
      <w:pPr>
        <w:pStyle w:val="BodyText"/>
      </w:pPr>
      <w:r>
        <w:t xml:space="preserve">The studies in Table 2 collectively establish six empirical regularities. First, ENSO explains 15–30% of commodity price variation depending on category and horizon, with food commodities at the upper end [^97^][^8^]. Second, the aggregate price uplift from El Niño is 3–5% for non-energy commodities, with strong events potentially doubling this [^81^][^6^]. Third, vegetable oils constitute the most responsive group due to geographic concentration of palm oil production in ENSO-exposed regions [^8^]. Fourth, transmission operates with 6–18 month lags reflecting crop cycles and supply chain dynamics [^1^]. Fifth, stockpile levels critically mediate the response: ample inventories buffer shocks, depleted stocks amplify them [^46^]. Sixth, the relationship is regime-dependent, with nonlinear models consistently outperforming linear specifications [^8^][^544^]. These regularities, replicated across academic studies, central bank research, and institutional analyses spanning multiple decades, provide a robust empirical foundation for the commodity-specific modeling and portfolio analysis in subsequent chapters.</w:t>
      </w:r>
    </w:p>
    <w:p>
      <w:r>
        <w:pict>
          <v:rect style="width:0;height:1.5pt" o:hralign="center" o:hrstd="t" o:hr="t"/>
        </w:pict>
      </w:r>
    </w:p>
    <w:bookmarkEnd w:id="49"/>
    <w:bookmarkEnd w:id="50"/>
    <w:bookmarkEnd w:id="51"/>
    <w:bookmarkStart w:id="73" w:name="commodity-by-commodity-impact-analysis"/>
    <w:p>
      <w:pPr>
        <w:pStyle w:val="Heading2"/>
      </w:pPr>
      <w:r>
        <w:t xml:space="preserve">3. Commodity-by-Commodity Impact Analysis</w:t>
      </w:r>
    </w:p>
    <w:p>
      <w:pPr>
        <w:pStyle w:val="FirstParagraph"/>
      </w:pPr>
      <w:r>
        <w:t xml:space="preserve">The preceding literature review established that El Niño transmits to commodity markets through geographically concentrated production disruptions, with price sensitivity amplified by supply concentration and attenuated by stockpile buffers. This chapter applies that framework to each of the 14 commodities in the model universe, assigning vulnerability scores derived from historical price responses, production geography, and buffer stock adequacy. The analysis proceeds in five tiers, from the most vulnerable to negatively correlated exposures. The vulnerability ranking is visualized in</w:t>
      </w:r>
      <w:r>
        <w:t xml:space="preserve"> </w:t>
      </w:r>
      <w:r>
        <w:rPr>
          <w:rStyle w:val="VerbatimChar"/>
        </w:rPr>
        <w:t xml:space="preserve">/mnt/agents/output/chart1_commodity_ranking.png</w:t>
      </w:r>
      <w:r>
        <w:t xml:space="preserve">, while the concentration-sensitivity scatter appears in</w:t>
      </w:r>
      <w:r>
        <w:t xml:space="preserve"> </w:t>
      </w:r>
      <w:r>
        <w:rPr>
          <w:rStyle w:val="VerbatimChar"/>
        </w:rPr>
        <w:t xml:space="preserve">/mnt/agents/output/chart4_risk_matrix.png</w:t>
      </w:r>
      <w:r>
        <w:t xml:space="preserve">.</w:t>
      </w:r>
    </w:p>
    <w:p>
      <w:r>
        <w:pict>
          <v:rect style="width:0;height:1.5pt" o:hralign="center" o:hrstd="t" o:hr="t"/>
        </w:pict>
      </w:r>
    </w:p>
    <w:bookmarkStart w:id="55" w:name="X024c43856d84f3c4946ecdd6c1fd202a29cfaca"/>
    <w:p>
      <w:pPr>
        <w:pStyle w:val="Heading3"/>
      </w:pPr>
      <w:r>
        <w:t xml:space="preserve">3.1 High-Vulnerability Tier: Cocoa and Palm Oil</w:t>
      </w:r>
    </w:p>
    <w:p>
      <w:pPr>
        <w:pStyle w:val="FirstParagraph"/>
      </w:pPr>
      <w:r>
        <w:t xml:space="preserve">Two commodities stand apart in their El Niño vulnerability: cocoa and palm oil. Both share a critical structural feature — production is extraordinarily concentrated in regions directly exposed to El Niño teleconnections, with minimal alternative supply sources and near-zero short-run price elasticity.</w:t>
      </w:r>
    </w:p>
    <w:bookmarkStart w:id="52" w:name="Xf6331797e60b8267ccd5e0a4906572f7e4c18dc"/>
    <w:p>
      <w:pPr>
        <w:pStyle w:val="Heading4"/>
      </w:pPr>
      <w:r>
        <w:t xml:space="preserve">3.1.1 Cocoa (Vulnerability Score 5.72): The Concentration Time Bomb</w:t>
      </w:r>
    </w:p>
    <w:p>
      <w:pPr>
        <w:pStyle w:val="FirstParagraph"/>
      </w:pPr>
      <w:r>
        <w:t xml:space="preserve">Cocoa’s vulnerability score of 5.72 — the highest in the model — reflects a combination of geographic concentration, biological supply rigidity, and structural plantation deterioration without parallel among major commodities. Approximately 70% of global cocoa production originates from West Africa, with Côte d’Ivoire alone supplying ~38% and Ghana ~19% of world output [^440^][^292^]. This concentration is, as one analyst noted,</w:t>
      </w:r>
      <w:r>
        <w:t xml:space="preserve"> </w:t>
      </w:r>
      <w:r>
        <w:t xml:space="preserve">“</w:t>
      </w:r>
      <w:r>
        <w:t xml:space="preserve">without equal among major commodities</w:t>
      </w:r>
      <w:r>
        <w:t xml:space="preserve">”</w:t>
      </w:r>
      <w:r>
        <w:t xml:space="preserve"> </w:t>
      </w:r>
      <w:r>
        <w:t xml:space="preserve">[^277^].</w:t>
      </w:r>
    </w:p>
    <w:p>
      <w:pPr>
        <w:pStyle w:val="BodyText"/>
      </w:pPr>
      <w:r>
        <w:t xml:space="preserve">The 2023–24 El Niño validated this assessment with catastrophic precision. New York cocoa futures surged from approximately $2,500/tonne in January 2023 to $12,931/tonne by December 2024 — a greater than 5× increase that represents the largest price spike in cocoa’s recorded history [^298^][^274^]. The International Cocoa Organization (ICCO) confirmed a 489,000-tonne deficit for the 2023/24 season, with global production declining 13.1% year-on-year [^281^][^282^]. Côte d’Ivoire production fell 20% according to ICCO data (with other sources citing 25.3%), while Ghana’s output dropped 11–31.3% depending on measurement methodology [^275^][^279^].</w:t>
      </w:r>
    </w:p>
    <w:p>
      <w:pPr>
        <w:pStyle w:val="BodyText"/>
      </w:pPr>
      <w:r>
        <w:rPr>
          <w:bCs/>
          <w:b/>
        </w:rPr>
        <w:t xml:space="preserve">Table 1: Cocoa Price Response During Major El Niño Events, 1972–2024</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El Niño Event</w:t>
            </w:r>
          </w:p>
        </w:tc>
        <w:tc>
          <w:tcPr/>
          <w:p>
            <w:pPr>
              <w:pStyle w:val="Compact"/>
              <w:jc w:val="left"/>
            </w:pPr>
            <w:r>
              <w:t xml:space="preserve">Strength</w:t>
            </w:r>
          </w:p>
        </w:tc>
        <w:tc>
          <w:tcPr/>
          <w:p>
            <w:pPr>
              <w:pStyle w:val="Compact"/>
              <w:jc w:val="left"/>
            </w:pPr>
            <w:r>
              <w:t xml:space="preserve">Peak ONI (°C)</w:t>
            </w:r>
          </w:p>
        </w:tc>
        <w:tc>
          <w:tcPr/>
          <w:p>
            <w:pPr>
              <w:pStyle w:val="Compact"/>
              <w:jc w:val="left"/>
            </w:pPr>
            <w:r>
              <w:t xml:space="preserve">Cocoa Price Change</w:t>
            </w:r>
          </w:p>
        </w:tc>
        <w:tc>
          <w:tcPr/>
          <w:p>
            <w:pPr>
              <w:pStyle w:val="Compact"/>
              <w:jc w:val="left"/>
            </w:pPr>
            <w:r>
              <w:t xml:space="preserve">Primary Mechanism</w:t>
            </w:r>
          </w:p>
        </w:tc>
      </w:tr>
      <w:tr>
        <w:tc>
          <w:tcPr/>
          <w:p>
            <w:pPr>
              <w:pStyle w:val="Compact"/>
              <w:jc w:val="left"/>
            </w:pPr>
            <w:r>
              <w:t xml:space="preserve">1972–73</w:t>
            </w:r>
          </w:p>
        </w:tc>
        <w:tc>
          <w:tcPr/>
          <w:p>
            <w:pPr>
              <w:pStyle w:val="Compact"/>
              <w:jc w:val="left"/>
            </w:pPr>
            <w:r>
              <w:t xml:space="preserve">Strong</w:t>
            </w:r>
          </w:p>
        </w:tc>
        <w:tc>
          <w:tcPr/>
          <w:p>
            <w:pPr>
              <w:pStyle w:val="Compact"/>
              <w:jc w:val="left"/>
            </w:pPr>
            <w:r>
              <w:t xml:space="preserve">~1.5</w:t>
            </w:r>
          </w:p>
        </w:tc>
        <w:tc>
          <w:tcPr/>
          <w:p>
            <w:pPr>
              <w:pStyle w:val="Compact"/>
              <w:jc w:val="left"/>
            </w:pPr>
            <w:r>
              <w:t xml:space="preserve">+40–50%</w:t>
            </w:r>
          </w:p>
        </w:tc>
        <w:tc>
          <w:tcPr/>
          <w:p>
            <w:pPr>
              <w:pStyle w:val="Compact"/>
              <w:jc w:val="left"/>
            </w:pPr>
            <w:r>
              <w:t xml:space="preserve">Ghana rainfall deficit, early-stage market</w:t>
            </w:r>
          </w:p>
        </w:tc>
      </w:tr>
      <w:tr>
        <w:tc>
          <w:tcPr/>
          <w:p>
            <w:pPr>
              <w:pStyle w:val="Compact"/>
              <w:jc w:val="left"/>
            </w:pPr>
            <w:r>
              <w:t xml:space="preserve">1982–83</w:t>
            </w:r>
          </w:p>
        </w:tc>
        <w:tc>
          <w:tcPr/>
          <w:p>
            <w:pPr>
              <w:pStyle w:val="Compact"/>
              <w:jc w:val="left"/>
            </w:pPr>
            <w:r>
              <w:t xml:space="preserve">Very Strong</w:t>
            </w:r>
          </w:p>
        </w:tc>
        <w:tc>
          <w:tcPr/>
          <w:p>
            <w:pPr>
              <w:pStyle w:val="Compact"/>
              <w:jc w:val="left"/>
            </w:pPr>
            <w:r>
              <w:t xml:space="preserve">~2.1</w:t>
            </w:r>
          </w:p>
        </w:tc>
        <w:tc>
          <w:tcPr/>
          <w:p>
            <w:pPr>
              <w:pStyle w:val="Compact"/>
              <w:jc w:val="left"/>
            </w:pPr>
            <w:r>
              <w:t xml:space="preserve">+60%</w:t>
            </w:r>
          </w:p>
        </w:tc>
        <w:tc>
          <w:tcPr/>
          <w:p>
            <w:pPr>
              <w:pStyle w:val="Compact"/>
              <w:jc w:val="left"/>
            </w:pPr>
            <w:r>
              <w:t xml:space="preserve">Ghana all-time low rainfall (868 mm); 100,000+ ha destroyed by bushfires [^132^][^278^]</w:t>
            </w:r>
          </w:p>
        </w:tc>
      </w:tr>
      <w:tr>
        <w:tc>
          <w:tcPr/>
          <w:p>
            <w:pPr>
              <w:pStyle w:val="Compact"/>
              <w:jc w:val="left"/>
            </w:pPr>
            <w:r>
              <w:t xml:space="preserve">1997–98</w:t>
            </w:r>
          </w:p>
        </w:tc>
        <w:tc>
          <w:tcPr/>
          <w:p>
            <w:pPr>
              <w:pStyle w:val="Compact"/>
              <w:jc w:val="left"/>
            </w:pPr>
            <w:r>
              <w:t xml:space="preserve">Very Strong</w:t>
            </w:r>
          </w:p>
        </w:tc>
        <w:tc>
          <w:tcPr/>
          <w:p>
            <w:pPr>
              <w:pStyle w:val="Compact"/>
              <w:jc w:val="left"/>
            </w:pPr>
            <w:r>
              <w:t xml:space="preserve">~2.3</w:t>
            </w:r>
          </w:p>
        </w:tc>
        <w:tc>
          <w:tcPr/>
          <w:p>
            <w:pPr>
              <w:pStyle w:val="Compact"/>
              <w:jc w:val="left"/>
            </w:pPr>
            <w:r>
              <w:t xml:space="preserve">+45%</w:t>
            </w:r>
          </w:p>
        </w:tc>
        <w:tc>
          <w:tcPr/>
          <w:p>
            <w:pPr>
              <w:pStyle w:val="Compact"/>
              <w:jc w:val="left"/>
            </w:pPr>
            <w:r>
              <w:t xml:space="preserve">West African heatwave, multi-country production decline [^132^]</w:t>
            </w:r>
          </w:p>
        </w:tc>
      </w:tr>
      <w:tr>
        <w:tc>
          <w:tcPr/>
          <w:p>
            <w:pPr>
              <w:pStyle w:val="Compact"/>
              <w:jc w:val="left"/>
            </w:pPr>
            <w:r>
              <w:t xml:space="preserve">2015–16</w:t>
            </w:r>
          </w:p>
        </w:tc>
        <w:tc>
          <w:tcPr/>
          <w:p>
            <w:pPr>
              <w:pStyle w:val="Compact"/>
              <w:jc w:val="left"/>
            </w:pPr>
            <w:r>
              <w:t xml:space="preserve">Very Strong</w:t>
            </w:r>
          </w:p>
        </w:tc>
        <w:tc>
          <w:tcPr/>
          <w:p>
            <w:pPr>
              <w:pStyle w:val="Compact"/>
              <w:jc w:val="left"/>
            </w:pPr>
            <w:r>
              <w:t xml:space="preserve">~2.6</w:t>
            </w:r>
          </w:p>
        </w:tc>
        <w:tc>
          <w:tcPr/>
          <w:p>
            <w:pPr>
              <w:pStyle w:val="Compact"/>
              <w:jc w:val="left"/>
            </w:pPr>
            <w:r>
              <w:t xml:space="preserve">+25–35%</w:t>
            </w:r>
          </w:p>
        </w:tc>
        <w:tc>
          <w:tcPr/>
          <w:p>
            <w:pPr>
              <w:pStyle w:val="Compact"/>
              <w:jc w:val="left"/>
            </w:pPr>
            <w:r>
              <w:t xml:space="preserve">Brazil: 89% yield reduction in Bahia, 15% tree mortality; Ecuador −11.1% [^372^][^363^]</w:t>
            </w:r>
          </w:p>
        </w:tc>
      </w:tr>
      <w:tr>
        <w:tc>
          <w:tcPr/>
          <w:p>
            <w:pPr>
              <w:pStyle w:val="Compact"/>
              <w:jc w:val="left"/>
            </w:pPr>
            <w:r>
              <w:t xml:space="preserve">2023–24</w:t>
            </w:r>
          </w:p>
        </w:tc>
        <w:tc>
          <w:tcPr/>
          <w:p>
            <w:pPr>
              <w:pStyle w:val="Compact"/>
              <w:jc w:val="left"/>
            </w:pPr>
            <w:r>
              <w:t xml:space="preserve">Moderate-Strong</w:t>
            </w:r>
          </w:p>
        </w:tc>
        <w:tc>
          <w:tcPr/>
          <w:p>
            <w:pPr>
              <w:pStyle w:val="Compact"/>
              <w:jc w:val="left"/>
            </w:pPr>
            <w:r>
              <w:t xml:space="preserve">~1.8</w:t>
            </w:r>
          </w:p>
        </w:tc>
        <w:tc>
          <w:tcPr/>
          <w:p>
            <w:pPr>
              <w:pStyle w:val="Compact"/>
              <w:jc w:val="left"/>
            </w:pPr>
            <w:r>
              <w:t xml:space="preserve">+417% (Jan 2023–Dec 2024 peak)</w:t>
            </w:r>
          </w:p>
        </w:tc>
        <w:tc>
          <w:tcPr/>
          <w:p>
            <w:pPr>
              <w:pStyle w:val="Compact"/>
              <w:jc w:val="left"/>
            </w:pPr>
            <w:r>
              <w:t xml:space="preserve">West Africa: Côte d’Ivoire −20%, Ghana −11–31%; black pod disease; CSSVD spread [^281^][^275^]</w:t>
            </w:r>
          </w:p>
        </w:tc>
      </w:tr>
    </w:tbl>
    <w:p>
      <w:pPr>
        <w:pStyle w:val="BodyText"/>
      </w:pPr>
      <w:r>
        <w:t xml:space="preserve">The escalating magnitude of price responses across successive El Niño events — despite comparable or weaker meteorological intensity — points to a structural deterioration in the production base. Climate data confirms a statistically significant warming trend of +0.025°C/year in Ghana (R² = 0.81) over 1950–2024, meaning each El Niño is superimposed on a rising temperature baseline [^117^]. Meanwhile, 73–90% of cocoa farmers in Ghana and Côte d’Ivoire do not earn a living income, and 73% of Ivorian farmers had not purchased fertilizers for upcoming production cycles as of 2024, further eroding resilience [^287^][^288^][^363^].</w:t>
      </w:r>
    </w:p>
    <w:p>
      <w:pPr>
        <w:pStyle w:val="BodyText"/>
      </w:pPr>
      <w:r>
        <w:t xml:space="preserve">The biological rigidity of cocoa supply intensifies the price response. A cocoa tree requires 3–5 years to bear fruit and reaches peak production only after years of growth, meaning price signals cannot elicit supply responses within a single season [^292^]. Short-run supply elasticity is effectively zero, transforming any production shortfall into pure price overshoot. The</w:t>
      </w:r>
      <w:r>
        <w:t xml:space="preserve"> </w:t>
      </w:r>
      <w:r>
        <w:t xml:space="preserve">“</w:t>
      </w:r>
      <w:r>
        <w:t xml:space="preserve">forward-selling trap</w:t>
      </w:r>
      <w:r>
        <w:t xml:space="preserve">”</w:t>
      </w:r>
      <w:r>
        <w:t xml:space="preserve"> </w:t>
      </w:r>
      <w:r>
        <w:t xml:space="preserve">compounds farmer vulnerability: Ghana’s COCOBOD and Côte d’Ivoire’s CCC pre-sell 70–80% of the expected harvest through forward contracts, locking in farmgate prices before El Niño shocks hit [^251^][^132^]. When spot prices skyrocket, farmers capture none of the windfall while suffering the full output decline.</w:t>
      </w:r>
    </w:p>
    <w:p>
      <w:pPr>
        <w:pStyle w:val="BodyText"/>
      </w:pPr>
      <w:r>
        <w:rPr>
          <w:bCs/>
          <w:b/>
        </w:rPr>
        <w:t xml:space="preserve">Analytical interpretation of Table 1.</w:t>
      </w:r>
      <w:r>
        <w:t xml:space="preserve"> </w:t>
      </w:r>
      <w:r>
        <w:t xml:space="preserve">The progression from +45% (1997–98) to +417% (2023–24) cannot be attributed to stronger El Niño forcing — the 2023–24 event peaked at approximately 1.8°C ONI, below the 2.6°C of 2015–16. Rather, the amplification reflects three compounding structural factors. First, the stocks-to-grindings ratio fell to 26.5% in 2024, far below the historical average of 46% [^363^], eliminating the buffer that absorbed previous supply shocks. Second, successive El Niño events have degraded the productive asset base through aging trees, depleted soils, and accelerating disease spread (cocoa-swollen shoot virus, black pod). Third, financial speculation amplified the physical shortage: non-commercial investors held over 60% of cocoa contracts at the April 2024 peak, with $8.7 billion flowing into cocoa contracts between October 2023 and February 2024 [^278^]. These structural vulnerabilities imply that future El Niño events of moderate intensity may produce price responses previously associated with</w:t>
      </w:r>
      <w:r>
        <w:t xml:space="preserve"> </w:t>
      </w:r>
      <w:r>
        <w:t xml:space="preserve">“</w:t>
      </w:r>
      <w:r>
        <w:t xml:space="preserve">very strong</w:t>
      </w:r>
      <w:r>
        <w:t xml:space="preserve">”</w:t>
      </w:r>
      <w:r>
        <w:t xml:space="preserve"> </w:t>
      </w:r>
      <w:r>
        <w:t xml:space="preserve">events — a</w:t>
      </w:r>
      <w:r>
        <w:t xml:space="preserve"> </w:t>
      </w:r>
      <w:r>
        <w:t xml:space="preserve">“</w:t>
      </w:r>
      <w:r>
        <w:t xml:space="preserve">structural vulnerability adjustment</w:t>
      </w:r>
      <w:r>
        <w:t xml:space="preserve">”</w:t>
      </w:r>
      <w:r>
        <w:t xml:space="preserve"> </w:t>
      </w:r>
      <w:r>
        <w:t xml:space="preserve">that historical analog models should incorporate. For cross-commodity historical price comparisons, see</w:t>
      </w:r>
      <w:r>
        <w:t xml:space="preserve"> </w:t>
      </w:r>
      <w:r>
        <w:rPr>
          <w:rStyle w:val="VerbatimChar"/>
        </w:rPr>
        <w:t xml:space="preserve">/mnt/agents/output/chart2_historical_price_changes.png</w:t>
      </w:r>
      <w:r>
        <w:t xml:space="preserve">.</w:t>
      </w:r>
    </w:p>
    <w:bookmarkEnd w:id="52"/>
    <w:bookmarkStart w:id="53" w:name="X0ab1324465db6f525649489c147d14f6cf9684f"/>
    <w:p>
      <w:pPr>
        <w:pStyle w:val="Heading4"/>
      </w:pPr>
      <w:r>
        <w:t xml:space="preserve">3.1.2 Palm Oil (Vulnerability Score 5.42): The Southeast Asian Supply Monoculture</w:t>
      </w:r>
    </w:p>
    <w:p>
      <w:pPr>
        <w:pStyle w:val="FirstParagraph"/>
      </w:pPr>
      <w:r>
        <w:t xml:space="preserve">Palm oil ranks second in vulnerability with a score of 5.42, driven by Indonesia and Malaysia’s combined 83% share of global production [^226^][^24^]. Indonesia alone produces ~58% of world palm oil (46.7 million MT of 81.2 million MT global) [^226^].</w:t>
      </w:r>
    </w:p>
    <w:p>
      <w:pPr>
        <w:pStyle w:val="BodyText"/>
      </w:pPr>
      <w:r>
        <w:t xml:space="preserve">El Niño impacts palm oil through a distinctive 12–24 month lag mechanism rooted in oil palm physiology. Drought affects inflorescence abortion and sex ratio with 16–24 month delays, meaning the full production impact is not felt until the year after the El Niño peak [^225^]. During the strong 2015/16 El Niño, Indonesian palm oil production fell 3% from 34.5 million to 32.1 million MT — the first decline since 1998 [^312^][^311^]. Malaysian CPO yield dropped from 3.78 t/ha in 2015 to 3.21 t/ha in 2016, a 15% decline [^31^]. Both very strong El Niño events (1997/98 and 2015/16) caused oil palm yield losses of approximately 3.07 t/ha and 3.52 t/ha respectively [^31^].</w:t>
      </w:r>
    </w:p>
    <w:p>
      <w:pPr>
        <w:pStyle w:val="BodyText"/>
      </w:pPr>
      <w:r>
        <w:t xml:space="preserve">Critically, Malaysian yields failed to recover to pre-El Niño levels after 2015/16 — a structural break not observed after 1997/98 [^253^][^255^]. Aging oil palm crops show significant negative correlation (−0.715) with FFB yield, and without proper replanting, total combined loss from aging crops (2009–2022) is estimated at $3.94 billion — more than losses from El Niño in the same period [^253^]. Indonesia faces an 87-year replanting backlog at current rates of 40,000 ha/year against a 3.5 million ha deficit [^252^]. Absent 4% annual replanting, Indonesian production could decline 15–20% through 2035 despite stable area [^320^].</w:t>
      </w:r>
    </w:p>
    <w:p>
      <w:pPr>
        <w:pStyle w:val="BodyText"/>
      </w:pPr>
      <w:r>
        <w:t xml:space="preserve">Ubilava’s research found that an unanticipated El Niño shock results in up to a 5 percentage point increase in vegetable oil prices, with approximately 15% of variation after one year and up to 30% after two years attributable to ENSO shocks [^8^]. Global palm oil stocks-to-use ratio is structurally thin at just under 12% in 2026/27 [^24^]. The substitution cascade amplifies transmission: soybean oil price explains ~80% of palm oil price variation (R² = 0.80), transmitting shocks across the entire vegetable oil complex [^237^][^236^].</w:t>
      </w:r>
    </w:p>
    <w:bookmarkEnd w:id="53"/>
    <w:bookmarkStart w:id="54" w:name="Xf7ac56e6646d0281629456978a19b5ed009d7a3"/>
    <w:p>
      <w:pPr>
        <w:pStyle w:val="Heading4"/>
      </w:pPr>
      <w:r>
        <w:t xml:space="preserve">3.1.3 Concentration Amplification Effect: A Formal Framework</w:t>
      </w:r>
    </w:p>
    <w:p>
      <w:pPr>
        <w:pStyle w:val="FirstParagraph"/>
      </w:pPr>
      <w:r>
        <w:t xml:space="preserve">The divergence between cocoa/palm oil and all other commodities can be understood through the</w:t>
      </w:r>
      <w:r>
        <w:t xml:space="preserve"> </w:t>
      </w:r>
      <w:r>
        <w:t xml:space="preserve">“</w:t>
      </w:r>
      <w:r>
        <w:t xml:space="preserve">Concentration Amplification Effect.</w:t>
      </w:r>
      <w:r>
        <w:t xml:space="preserve">”</w:t>
      </w:r>
      <w:r>
        <w:t xml:space="preserve"> </w:t>
      </w:r>
      <w:r>
        <w:t xml:space="preserve">The vulnerability score is computed as:</w:t>
      </w:r>
    </w:p>
    <w:p>
      <w:pPr>
        <w:pStyle w:val="BodyText"/>
      </w:pPr>
      <m:oMathPara>
        <m:oMathParaPr>
          <m:jc m:val="center"/>
        </m:oMathParaPr>
        <m:oMath>
          <m:sSub>
            <m:e>
              <m:r>
                <m:t>S</m:t>
              </m:r>
            </m:e>
            <m:sub>
              <m:r>
                <m:t>i</m:t>
              </m:r>
            </m:sub>
          </m:sSub>
          <m:r>
            <m:rPr>
              <m:sty m:val="p"/>
            </m:rPr>
            <m:t>=</m:t>
          </m:r>
          <m:f>
            <m:fPr>
              <m:type m:val="bar"/>
            </m:fPr>
            <m:num>
              <m:sSub>
                <m:e>
                  <m:r>
                    <m:t>W</m:t>
                  </m:r>
                </m:e>
                <m:sub>
                  <m:r>
                    <m:t>i</m:t>
                  </m:r>
                </m:sub>
              </m:sSub>
              <m:r>
                <m:rPr>
                  <m:sty m:val="p"/>
                </m:rPr>
                <m:t>×</m:t>
              </m:r>
              <m:sSub>
                <m:e>
                  <m:r>
                    <m:t>C</m:t>
                  </m:r>
                </m:e>
                <m:sub>
                  <m:r>
                    <m:t>i</m:t>
                  </m:r>
                </m:sub>
              </m:sSub>
            </m:num>
            <m:den>
              <m:rad>
                <m:radPr>
                  <m:degHide m:val="1"/>
                </m:radPr>
                <m:deg/>
                <m:e>
                  <m:sSub>
                    <m:e>
                      <m:r>
                        <m:t>B</m:t>
                      </m:r>
                    </m:e>
                    <m:sub>
                      <m:r>
                        <m:t>i</m:t>
                      </m:r>
                    </m:sub>
                  </m:sSub>
                </m:e>
              </m:rad>
            </m:den>
          </m:f>
        </m:oMath>
      </m:oMathPara>
    </w:p>
    <w:p>
      <w:pPr>
        <w:pStyle w:val="FirstParagraph"/>
      </w:pPr>
      <w:r>
        <w:t xml:space="preserve">where</w:t>
      </w:r>
      <w:r>
        <w:t xml:space="preserve"> </w:t>
      </w:r>
      <m:oMath>
        <m:sSub>
          <m:e>
            <m:r>
              <m:t>W</m:t>
            </m:r>
          </m:e>
          <m:sub>
            <m:r>
              <m:t>i</m:t>
            </m:r>
          </m:sub>
        </m:sSub>
      </m:oMath>
      <w:r>
        <w:t xml:space="preserve"> </w:t>
      </w:r>
      <w:r>
        <w:t xml:space="preserve">is the weather impact coefficient (historical yield response to El Niño),</w:t>
      </w:r>
      <w:r>
        <w:t xml:space="preserve"> </w:t>
      </w:r>
      <m:oMath>
        <m:sSub>
          <m:e>
            <m:r>
              <m:t>C</m:t>
            </m:r>
          </m:e>
          <m:sub>
            <m:r>
              <m:t>i</m:t>
            </m:r>
          </m:sub>
        </m:sSub>
      </m:oMath>
      <w:r>
        <w:t xml:space="preserve"> </w:t>
      </w:r>
      <w:r>
        <w:t xml:space="preserve">is the geographic concentration ratio (production share in ENSO-exposed regions), and</w:t>
      </w:r>
      <w:r>
        <w:t xml:space="preserve"> </w:t>
      </w:r>
      <m:oMath>
        <m:sSub>
          <m:e>
            <m:r>
              <m:t>B</m:t>
            </m:r>
          </m:e>
          <m:sub>
            <m:r>
              <m:t>i</m:t>
            </m:r>
          </m:sub>
        </m:sSub>
      </m:oMath>
      <w:r>
        <w:t xml:space="preserve"> </w:t>
      </w:r>
      <w:r>
        <w:t xml:space="preserve">is the stockpile buffer ratio (stocks-to-consumption). The square root on the buffer term reflects diminishing marginal protection.</w:t>
      </w:r>
    </w:p>
    <w:p>
      <w:pPr>
        <w:pStyle w:val="BodyText"/>
      </w:pPr>
      <w:r>
        <w:t xml:space="preserve">For cocoa,</w:t>
      </w:r>
      <w:r>
        <w:t xml:space="preserve"> </w:t>
      </w:r>
      <m:oMath>
        <m:sSub>
          <m:e>
            <m:r>
              <m:t>W</m:t>
            </m:r>
          </m:e>
          <m:sub>
            <m:r>
              <m:t>c</m:t>
            </m:r>
            <m:r>
              <m:t>o</m:t>
            </m:r>
            <m:r>
              <m:t>c</m:t>
            </m:r>
            <m:r>
              <m:t>o</m:t>
            </m:r>
            <m:r>
              <m:t>a</m:t>
            </m:r>
          </m:sub>
        </m:sSub>
        <m:r>
          <m:rPr>
            <m:sty m:val="p"/>
          </m:rPr>
          <m:t>≈</m:t>
        </m:r>
        <m:r>
          <m:t>0.20</m:t>
        </m:r>
      </m:oMath>
      <w:r>
        <w:t xml:space="preserve"> </w:t>
      </w:r>
      <w:r>
        <w:t xml:space="preserve">(20% production decline in strong events),</w:t>
      </w:r>
      <w:r>
        <w:t xml:space="preserve"> </w:t>
      </w:r>
      <m:oMath>
        <m:sSub>
          <m:e>
            <m:r>
              <m:t>C</m:t>
            </m:r>
          </m:e>
          <m:sub>
            <m:r>
              <m:t>c</m:t>
            </m:r>
            <m:r>
              <m:t>o</m:t>
            </m:r>
            <m:r>
              <m:t>c</m:t>
            </m:r>
            <m:r>
              <m:t>o</m:t>
            </m:r>
            <m:r>
              <m:t>a</m:t>
            </m:r>
          </m:sub>
        </m:sSub>
        <m:r>
          <m:rPr>
            <m:sty m:val="p"/>
          </m:rPr>
          <m:t>≈</m:t>
        </m:r>
        <m:r>
          <m:t>0.70</m:t>
        </m:r>
      </m:oMath>
      <w:r>
        <w:t xml:space="preserve"> </w:t>
      </w:r>
      <w:r>
        <w:t xml:space="preserve">(70% from West Africa), and</w:t>
      </w:r>
      <w:r>
        <w:t xml:space="preserve"> </w:t>
      </w:r>
      <m:oMath>
        <m:sSub>
          <m:e>
            <m:r>
              <m:t>B</m:t>
            </m:r>
          </m:e>
          <m:sub>
            <m:r>
              <m:t>c</m:t>
            </m:r>
            <m:r>
              <m:t>o</m:t>
            </m:r>
            <m:r>
              <m:t>c</m:t>
            </m:r>
            <m:r>
              <m:t>o</m:t>
            </m:r>
            <m:r>
              <m:t>a</m:t>
            </m:r>
          </m:sub>
        </m:sSub>
        <m:r>
          <m:rPr>
            <m:sty m:val="p"/>
          </m:rPr>
          <m:t>≈</m:t>
        </m:r>
        <m:r>
          <m:t>0.265</m:t>
        </m:r>
      </m:oMath>
      <w:r>
        <w:t xml:space="preserve"> </w:t>
      </w:r>
      <w:r>
        <w:t xml:space="preserve">(26.5% stocks-to-grindings), yielding</w:t>
      </w:r>
      <w:r>
        <w:t xml:space="preserve"> </w:t>
      </w:r>
      <m:oMath>
        <m:sSub>
          <m:e>
            <m:r>
              <m:t>S</m:t>
            </m:r>
          </m:e>
          <m:sub>
            <m:r>
              <m:t>c</m:t>
            </m:r>
            <m:r>
              <m:t>o</m:t>
            </m:r>
            <m:r>
              <m:t>c</m:t>
            </m:r>
            <m:r>
              <m:t>o</m:t>
            </m:r>
            <m:r>
              <m:t>a</m:t>
            </m:r>
          </m:sub>
        </m:sSub>
        <m:r>
          <m:rPr>
            <m:sty m:val="p"/>
          </m:rPr>
          <m:t>≈</m:t>
        </m:r>
        <m:r>
          <m:t>5.72</m:t>
        </m:r>
      </m:oMath>
      <w:r>
        <w:t xml:space="preserve">. For palm oil,</w:t>
      </w:r>
      <w:r>
        <w:t xml:space="preserve"> </w:t>
      </w:r>
      <m:oMath>
        <m:sSub>
          <m:e>
            <m:r>
              <m:t>W</m:t>
            </m:r>
          </m:e>
          <m:sub>
            <m:r>
              <m:t>p</m:t>
            </m:r>
            <m:r>
              <m:t>a</m:t>
            </m:r>
            <m:r>
              <m:t>l</m:t>
            </m:r>
            <m:r>
              <m:t>m</m:t>
            </m:r>
          </m:sub>
        </m:sSub>
        <m:r>
          <m:rPr>
            <m:sty m:val="p"/>
          </m:rPr>
          <m:t>≈</m:t>
        </m:r>
        <m:r>
          <m:t>0.13</m:t>
        </m:r>
      </m:oMath>
      <w:r>
        <w:t xml:space="preserve"> </w:t>
      </w:r>
      <w:r>
        <w:t xml:space="preserve">(13% yield decline),</w:t>
      </w:r>
      <w:r>
        <w:t xml:space="preserve"> </w:t>
      </w:r>
      <m:oMath>
        <m:sSub>
          <m:e>
            <m:r>
              <m:t>C</m:t>
            </m:r>
          </m:e>
          <m:sub>
            <m:r>
              <m:t>p</m:t>
            </m:r>
            <m:r>
              <m:t>a</m:t>
            </m:r>
            <m:r>
              <m:t>l</m:t>
            </m:r>
            <m:r>
              <m:t>m</m:t>
            </m:r>
          </m:sub>
        </m:sSub>
        <m:r>
          <m:rPr>
            <m:sty m:val="p"/>
          </m:rPr>
          <m:t>≈</m:t>
        </m:r>
        <m:r>
          <m:t>0.83</m:t>
        </m:r>
      </m:oMath>
      <w:r>
        <w:t xml:space="preserve"> </w:t>
      </w:r>
      <w:r>
        <w:t xml:space="preserve">(83% Indonesia/Malaysia), and</w:t>
      </w:r>
      <w:r>
        <w:t xml:space="preserve"> </w:t>
      </w:r>
      <m:oMath>
        <m:sSub>
          <m:e>
            <m:r>
              <m:t>B</m:t>
            </m:r>
          </m:e>
          <m:sub>
            <m:r>
              <m:t>p</m:t>
            </m:r>
            <m:r>
              <m:t>a</m:t>
            </m:r>
            <m:r>
              <m:t>l</m:t>
            </m:r>
            <m:r>
              <m:t>m</m:t>
            </m:r>
          </m:sub>
        </m:sSub>
        <m:r>
          <m:rPr>
            <m:sty m:val="p"/>
          </m:rPr>
          <m:t>≈</m:t>
        </m:r>
        <m:r>
          <m:t>0.12</m:t>
        </m:r>
      </m:oMath>
      <w:r>
        <w:t xml:space="preserve"> </w:t>
      </w:r>
      <w:r>
        <w:t xml:space="preserve">(12% stocks-to-use), yielding</w:t>
      </w:r>
      <w:r>
        <w:t xml:space="preserve"> </w:t>
      </w:r>
      <m:oMath>
        <m:sSub>
          <m:e>
            <m:r>
              <m:t>S</m:t>
            </m:r>
          </m:e>
          <m:sub>
            <m:r>
              <m:t>p</m:t>
            </m:r>
            <m:r>
              <m:t>a</m:t>
            </m:r>
            <m:r>
              <m:t>l</m:t>
            </m:r>
            <m:r>
              <m:t>m</m:t>
            </m:r>
          </m:sub>
        </m:sSub>
        <m:r>
          <m:rPr>
            <m:sty m:val="p"/>
          </m:rPr>
          <m:t>≈</m:t>
        </m:r>
        <m:r>
          <m:t>5.42</m:t>
        </m:r>
      </m:oMath>
      <w:r>
        <w:t xml:space="preserve">. Ecuador (a secondary cocoa producer at ~4% global share) faces similar El Niño rainfall anomalies to West Africa, but its minimal global share means disruptions have negligible price impact. When West Africa is hit, with its 70% share, the impact is maximal.</w:t>
      </w:r>
    </w:p>
    <w:p>
      <w:r>
        <w:pict>
          <v:rect style="width:0;height:1.5pt" o:hralign="center" o:hrstd="t" o:hr="t"/>
        </w:pict>
      </w:r>
    </w:p>
    <w:bookmarkEnd w:id="54"/>
    <w:bookmarkEnd w:id="55"/>
    <w:bookmarkStart w:id="61" w:name="X2f4cb4109ab2a2f9f3468e2ecf2263f50b6c6b0"/>
    <w:p>
      <w:pPr>
        <w:pStyle w:val="Heading3"/>
      </w:pPr>
      <w:r>
        <w:t xml:space="preserve">3.2 Medium-High Vulnerability Tier: Coffee, Sugar, Copper, Cotton</w:t>
      </w:r>
    </w:p>
    <w:p>
      <w:pPr>
        <w:pStyle w:val="FirstParagraph"/>
      </w:pPr>
      <w:r>
        <w:t xml:space="preserve">The medium-high tier encompasses commodities with significant but partially mitigated El Niño exposure. Each has at least one compensating mechanism — geographic diversification, alternative supply sources, or demand elasticity — that prevents the extreme vulnerability seen in cocoa and palm oil.</w:t>
      </w:r>
    </w:p>
    <w:bookmarkStart w:id="56" w:name="X70424d14cf77ab348e5605c7cb26828f5b23643"/>
    <w:p>
      <w:pPr>
        <w:pStyle w:val="Heading4"/>
      </w:pPr>
      <w:r>
        <w:t xml:space="preserve">3.2.1 Robusta Coffee (Score 2.26): Vietnam’s Drought Belt</w:t>
      </w:r>
    </w:p>
    <w:p>
      <w:pPr>
        <w:pStyle w:val="FirstParagraph"/>
      </w:pPr>
      <w:r>
        <w:t xml:space="preserve">Robusta coffee is</w:t>
      </w:r>
      <w:r>
        <w:t xml:space="preserve"> </w:t>
      </w:r>
      <w:r>
        <w:t xml:space="preserve">“</w:t>
      </w:r>
      <w:r>
        <w:t xml:space="preserve">among its many identities, an El Niño event</w:t>
      </w:r>
      <w:r>
        <w:t xml:space="preserve">”</w:t>
      </w:r>
      <w:r>
        <w:t xml:space="preserve"> </w:t>
      </w:r>
      <w:r>
        <w:t xml:space="preserve">[^266^]. Vietnam, supplying over 40% of global robusta exports, sits squarely in the Pacific pattern’s dry zone [^261^]. The Central Highlands — producing 90% of Vietnam’s coffee — experienced severe drought during the 2015–16 El Niño, cutting production by ~7% (from 29.3 million to 27.3 million bags) [^258^][^259^]. The 2023–24 El Niño was far worse: production declined 20% to approximately 24.5 million bags, with VICOFA projecting only ~22 million bags for 2024–25 [^259^][^261^]. Full recovery is not expected until 2026–27.</w:t>
      </w:r>
    </w:p>
    <w:p>
      <w:pPr>
        <w:pStyle w:val="BodyText"/>
      </w:pPr>
      <w:r>
        <w:t xml:space="preserve">The FAO documented that during the 2015–16 El Niño, 52 of 63 Vietnamese provinces were affected by drought, with Central Highlands coffee yield losses of 81.4% in worst-hit areas. Indonesia, the world’s third-largest robusta producer, saw output drop ~20% during 2023–24 [^493^][^265^]. Robusta futures surged to record highs in 2024–25, reaching $5,847/ton on ICE London in February 2025, up 72% in 2024 alone [^342^]. Demand-side inelasticity amplifies the response: global coffee price elasticity is approximately −0.26, and consumer inventories fell to 15.9 million bags in February 2025 — 20-year lows [^453^][^308^].</w:t>
      </w:r>
    </w:p>
    <w:bookmarkEnd w:id="56"/>
    <w:bookmarkStart w:id="57" w:name="Xd840a8f687eee6d20eb5c353a409c2a8a38309e"/>
    <w:p>
      <w:pPr>
        <w:pStyle w:val="Heading4"/>
      </w:pPr>
      <w:r>
        <w:t xml:space="preserve">3.2.2 Arabica Coffee (Score 0.66): The Brazil Divergence Thesis</w:t>
      </w:r>
    </w:p>
    <w:p>
      <w:pPr>
        <w:pStyle w:val="FirstParagraph"/>
      </w:pPr>
      <w:r>
        <w:t xml:space="preserve">Arabica coffee presents the most striking intra-commodity divergence. While robusta suffers, arabica-growing regions — particularly Brazil — can benefit from El Niño rainfall. Research from UNESP analyzing 2002–2017 data across 79 localities found that El Niño</w:t>
      </w:r>
      <w:r>
        <w:t xml:space="preserve"> </w:t>
      </w:r>
      <w:r>
        <w:t xml:space="preserve">“</w:t>
      </w:r>
      <w:r>
        <w:t xml:space="preserve">tended to decrease precipitation and increase temperature, yet coffee yields INCREASED because the hottest days of El Niño happen in the first quarter of the phenological cycle, when the crop is normally in the vegetative phase, favoring the generation of new branches</w:t>
      </w:r>
      <w:r>
        <w:t xml:space="preserve">”</w:t>
      </w:r>
      <w:r>
        <w:t xml:space="preserve"> </w:t>
      </w:r>
      <w:r>
        <w:t xml:space="preserve">[^494^][^499^].</w:t>
      </w:r>
    </w:p>
    <w:p>
      <w:pPr>
        <w:pStyle w:val="BodyText"/>
      </w:pPr>
      <w:r>
        <w:t xml:space="preserve">This divergence creates a partial self-cancelling dynamic. Brazil’s arabica gains can offset Vietnam’s robusta losses, muting the net global price impact. However, this</w:t>
      </w:r>
      <w:r>
        <w:t xml:space="preserve"> </w:t>
      </w:r>
      <w:r>
        <w:t xml:space="preserve">“</w:t>
      </w:r>
      <w:r>
        <w:t xml:space="preserve">Brazilian offset</w:t>
      </w:r>
      <w:r>
        <w:t xml:space="preserve">”</w:t>
      </w:r>
      <w:r>
        <w:t xml:space="preserve"> </w:t>
      </w:r>
      <w:r>
        <w:t xml:space="preserve">is fragile: it depends on El Niño timing, regional distribution (moderate El Niño can be beneficial; strong El Niño causes water stress), and the strength of the robusta contraction. By early 2025, the arabica-robusta price spread reached $3,780/tonne —</w:t>
      </w:r>
      <w:r>
        <w:t xml:space="preserve"> </w:t>
      </w:r>
      <w:r>
        <w:t xml:space="preserve">“</w:t>
      </w:r>
      <w:r>
        <w:t xml:space="preserve">one of the steepest in recent years</w:t>
      </w:r>
      <w:r>
        <w:t xml:space="preserve">”</w:t>
      </w:r>
      <w:r>
        <w:t xml:space="preserve"> </w:t>
      </w:r>
      <w:r>
        <w:t xml:space="preserve">[^341^]. Colombia benefited from</w:t>
      </w:r>
      <w:r>
        <w:t xml:space="preserve"> </w:t>
      </w:r>
      <w:r>
        <w:t xml:space="preserve">“</w:t>
      </w:r>
      <w:r>
        <w:t xml:space="preserve">increased sun exposure, leading to a 10% production increase</w:t>
      </w:r>
      <w:r>
        <w:t xml:space="preserve">”</w:t>
      </w:r>
      <w:r>
        <w:t xml:space="preserve"> </w:t>
      </w:r>
      <w:r>
        <w:t xml:space="preserve">in 2024 [^532^], further illustrating the spatial heterogeneity that defines coffee’s El Niño response.</w:t>
      </w:r>
    </w:p>
    <w:bookmarkEnd w:id="57"/>
    <w:bookmarkStart w:id="58" w:name="sugar-score-1.17-india-as-swing-factor"/>
    <w:p>
      <w:pPr>
        <w:pStyle w:val="Heading4"/>
      </w:pPr>
      <w:r>
        <w:t xml:space="preserve">3.2.3 Sugar (Score 1.17): India as Swing Factor</w:t>
      </w:r>
    </w:p>
    <w:p>
      <w:pPr>
        <w:pStyle w:val="FirstParagraph"/>
      </w:pPr>
      <w:r>
        <w:t xml:space="preserve">Sugar’s El Niño vulnerability is moderated by the</w:t>
      </w:r>
      <w:r>
        <w:t xml:space="preserve"> </w:t>
      </w:r>
      <w:r>
        <w:t xml:space="preserve">“</w:t>
      </w:r>
      <w:r>
        <w:t xml:space="preserve">ethanol safety valve.</w:t>
      </w:r>
      <w:r>
        <w:t xml:space="preserve">”</w:t>
      </w:r>
      <w:r>
        <w:t xml:space="preserve"> </w:t>
      </w:r>
      <w:r>
        <w:t xml:space="preserve">Brazil’s flex-fuel vehicle fleet (over 85% of new light-vehicle sales, more than 80% of the fleet) creates dynamic demand-response: when sugar prices spike, mills divert cane from ethanol to sugar production, potentially adding 3–4 million tonnes of supply [^269^][^273^]. India’s E20 program similarly creates a diversion buffer, though the government banned sugarcane juice for ethanol in 2023–24 to prioritize domestic availability [^283^].</w:t>
      </w:r>
    </w:p>
    <w:p>
      <w:pPr>
        <w:pStyle w:val="BodyText"/>
      </w:pPr>
      <w:r>
        <w:t xml:space="preserve">India serves as the swing factor. During the 2015–16 El Niño, Indian sugar production fell from 28 million to 25.2 million tonnes, with Maharashtra dropping from 10.5 to 8.4 million tonnes [^487^]. The 2023–24 El Niño pushed production down to ~28 MMT from initial estimates of 35.5 MMT — a 21% reduction [^281^]. Thailand’s production fell to a 17-year low of 7 MMT in 2023–24, down 36% year-on-year [^280^].</w:t>
      </w:r>
    </w:p>
    <w:p>
      <w:pPr>
        <w:pStyle w:val="BodyText"/>
      </w:pPr>
      <w:r>
        <w:t xml:space="preserve">The ethanol safety valve means sugar’s sensitivity follows a threshold function: moderate impacts are absorbed by diversion, while only severe simultaneous India-Thailand-Brazil disruptions trigger major spikes. Global sugar stocks fell to less than 68 days of consumption in 2023 — lowest since 2009 [^262^]. Schroders analysis warns that</w:t>
      </w:r>
      <w:r>
        <w:t xml:space="preserve"> </w:t>
      </w:r>
      <w:r>
        <w:t xml:space="preserve">“</w:t>
      </w:r>
      <w:r>
        <w:t xml:space="preserve">previous El Niño events have seen production in India and Thailand fall by 20–30%, pushing major producers towards net imports and driving prices much higher</w:t>
      </w:r>
      <w:r>
        <w:t xml:space="preserve">”</w:t>
      </w:r>
      <w:r>
        <w:t xml:space="preserve"> </w:t>
      </w:r>
      <w:r>
        <w:t xml:space="preserve">with the impact</w:t>
      </w:r>
      <w:r>
        <w:t xml:space="preserve"> </w:t>
      </w:r>
      <w:r>
        <w:t xml:space="preserve">“</w:t>
      </w:r>
      <w:r>
        <w:t xml:space="preserve">more pronounced this time because a greater share of sugar stockpiles is being diverted into ethanol production.</w:t>
      </w:r>
      <w:r>
        <w:t xml:space="preserve">”</w:t>
      </w:r>
      <w:r>
        <w:t xml:space="preserve"> </w:t>
      </w:r>
      <w:r>
        <w:t xml:space="preserve">Academic trading strategies show an initial negative one-month excess return of −2.42% during El Niño phases, with reversion afterward [^106^], suggesting markets underreact initially to supply risks that are later validated by physical shortages.</w:t>
      </w:r>
    </w:p>
    <w:bookmarkEnd w:id="58"/>
    <w:bookmarkStart w:id="59" w:name="Xb163e5ab9d624233e693e14270132978658a484"/>
    <w:p>
      <w:pPr>
        <w:pStyle w:val="Heading4"/>
      </w:pPr>
      <w:r>
        <w:t xml:space="preserve">3.2.4 Copper (Score 1.56): Chile-Peru Concentration, Mining Disruption</w:t>
      </w:r>
    </w:p>
    <w:p>
      <w:pPr>
        <w:pStyle w:val="FirstParagraph"/>
      </w:pPr>
      <w:r>
        <w:t xml:space="preserve">Copper is the only base metal with sufficient production concentration in El Niño-exposed regions to generate meaningful climate-driven supply risk. Chile and Peru together account for ~40% of global supply [^337^][^332^]. Unlike agricultural commodities, copper’s El Niño channel operates through flooding and infrastructure disruption.</w:t>
      </w:r>
    </w:p>
    <w:p>
      <w:pPr>
        <w:pStyle w:val="BodyText"/>
      </w:pPr>
      <w:r>
        <w:t xml:space="preserve">The 2015–16 super El Niño demonstrated this channel conclusively. March 2015 floods in Chile’s Atacama region shuttered multiple mines including Centinela, Antucoya, Michilla, Candelaria, and Salvador, affecting approximately 90,000 tonnes of copper supply (~0.5% of global supply) [^406^]. Codelco’s El Salvador mine halted operations for 30 days, losing 6,500 tonnes [^148^]. April 2016 floods forced Codelco to suspend El Teniente (world’s largest underground copper mine), losing ~5,000 tonnes [^294^]. The 2017</w:t>
      </w:r>
      <w:r>
        <w:t xml:space="preserve"> </w:t>
      </w:r>
      <w:r>
        <w:t xml:space="preserve">“</w:t>
      </w:r>
      <w:r>
        <w:t xml:space="preserve">El Niño Costero</w:t>
      </w:r>
      <w:r>
        <w:t xml:space="preserve">”</w:t>
      </w:r>
      <w:r>
        <w:t xml:space="preserve"> </w:t>
      </w:r>
      <w:r>
        <w:t xml:space="preserve">in Peru caused $3.1 billion in damages, disrupting the Central Andino railway and zinc-lead-copper concentrate transport [^272^][^412^].</w:t>
      </w:r>
    </w:p>
    <w:p>
      <w:pPr>
        <w:pStyle w:val="BodyText"/>
      </w:pPr>
      <w:r>
        <w:t xml:space="preserve">Morgan Stanley identifies copper as</w:t>
      </w:r>
      <w:r>
        <w:t xml:space="preserve"> </w:t>
      </w:r>
      <w:r>
        <w:t xml:space="preserve">“</w:t>
      </w:r>
      <w:r>
        <w:t xml:space="preserve">the metal at greatest risk of supply disruption</w:t>
      </w:r>
      <w:r>
        <w:t xml:space="preserve">”</w:t>
      </w:r>
      <w:r>
        <w:t xml:space="preserve"> </w:t>
      </w:r>
      <w:r>
        <w:t xml:space="preserve">from El Niño [^19^]. The current structural deficit amplifies sensitivity: forecasts range from 150,000 to 600,000 tonnes for 2026 [^411^]. Chile’s mining sector is investing heavily in adaptation — 28 desalination plants operational or under construction, capacity projected to triple to 25,000 L/s by 2028 [^465^] — but this addresses drought risk, not the flooding and landslide risk that El Niño poses. IMF research finds non-fuel commodity prices increase ~5.3% within four quarters following an El Niño shock [^81^].</w:t>
      </w:r>
    </w:p>
    <w:bookmarkEnd w:id="59"/>
    <w:bookmarkStart w:id="60" w:name="X5d4babcdfc24d6a958cc6f8648c802a364732e0"/>
    <w:p>
      <w:pPr>
        <w:pStyle w:val="Heading4"/>
      </w:pPr>
      <w:r>
        <w:t xml:space="preserve">3.2.5 Cotton (Score 0.87): Monsoon-Dependent, Partially Diversified</w:t>
      </w:r>
    </w:p>
    <w:p>
      <w:pPr>
        <w:pStyle w:val="FirstParagraph"/>
      </w:pPr>
      <w:r>
        <w:t xml:space="preserve">Cotton’s El Niño vulnerability is moderate, driven primarily by Indian and Chinese monsoon exposure. India is the world’s largest cotton producer, and the Indian monsoon — highly correlated with ENSO — directly determines yield and acreage. However, cotton’s geographic distribution across the US (second-largest producer), China, India, Brazil, and Pakistan provides meaningful diversification. Unlike cocoa or palm oil, no single region dominates sufficiently to create concentration risk. Cotton’s score of 0.87 reflects this intermediate position: significant monsoon exposure but mitigated by geographic spread and relatively elastic demand through synthetic fiber substitution. The US Cotton Belt benefits from El Niño-enhanced moisture in the Southern Plains, further offsetting potential Indian shortfalls.</w:t>
      </w:r>
    </w:p>
    <w:p>
      <w:pPr>
        <w:pStyle w:val="BodyText"/>
      </w:pPr>
      <w:r>
        <w:rPr>
          <w:bCs/>
          <w:b/>
        </w:rPr>
        <w:t xml:space="preserve">Table 2: Medium-High Vulnerability Tier — Commodity Comparison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Commodity</w:t>
            </w:r>
          </w:p>
        </w:tc>
        <w:tc>
          <w:tcPr/>
          <w:p>
            <w:pPr>
              <w:pStyle w:val="Compact"/>
              <w:jc w:val="left"/>
            </w:pPr>
            <w:r>
              <w:t xml:space="preserve">Score</w:t>
            </w:r>
          </w:p>
        </w:tc>
        <w:tc>
          <w:tcPr/>
          <w:p>
            <w:pPr>
              <w:pStyle w:val="Compact"/>
              <w:jc w:val="left"/>
            </w:pPr>
            <w:r>
              <w:t xml:space="preserve">Primary Exposure</w:t>
            </w:r>
          </w:p>
        </w:tc>
        <w:tc>
          <w:tcPr/>
          <w:p>
            <w:pPr>
              <w:pStyle w:val="Compact"/>
              <w:jc w:val="left"/>
            </w:pPr>
            <w:r>
              <w:t xml:space="preserve">Key Mechanism</w:t>
            </w:r>
          </w:p>
        </w:tc>
        <w:tc>
          <w:tcPr/>
          <w:p>
            <w:pPr>
              <w:pStyle w:val="Compact"/>
              <w:jc w:val="left"/>
            </w:pPr>
            <w:r>
              <w:t xml:space="preserve">Mitigating Factor</w:t>
            </w:r>
          </w:p>
        </w:tc>
        <w:tc>
          <w:tcPr/>
          <w:p>
            <w:pPr>
              <w:pStyle w:val="Compact"/>
              <w:jc w:val="left"/>
            </w:pPr>
            <w:r>
              <w:t xml:space="preserve">Historical Price Impact</w:t>
            </w:r>
          </w:p>
        </w:tc>
      </w:tr>
      <w:tr>
        <w:tc>
          <w:tcPr/>
          <w:p>
            <w:pPr>
              <w:pStyle w:val="Compact"/>
              <w:jc w:val="left"/>
            </w:pPr>
            <w:r>
              <w:t xml:space="preserve">Robusta Coffee</w:t>
            </w:r>
          </w:p>
        </w:tc>
        <w:tc>
          <w:tcPr/>
          <w:p>
            <w:pPr>
              <w:pStyle w:val="Compact"/>
              <w:jc w:val="left"/>
            </w:pPr>
            <w:r>
              <w:t xml:space="preserve">2.26</w:t>
            </w:r>
          </w:p>
        </w:tc>
        <w:tc>
          <w:tcPr/>
          <w:p>
            <w:pPr>
              <w:pStyle w:val="Compact"/>
              <w:jc w:val="left"/>
            </w:pPr>
            <w:r>
              <w:t xml:space="preserve">Vietnam (&gt;40% global robusta)</w:t>
            </w:r>
          </w:p>
        </w:tc>
        <w:tc>
          <w:tcPr/>
          <w:p>
            <w:pPr>
              <w:pStyle w:val="Compact"/>
              <w:jc w:val="left"/>
            </w:pPr>
            <w:r>
              <w:t xml:space="preserve">Drought in Central Highlands; 20% yield cut [^261^]</w:t>
            </w:r>
          </w:p>
        </w:tc>
        <w:tc>
          <w:tcPr/>
          <w:p>
            <w:pPr>
              <w:pStyle w:val="Compact"/>
              <w:jc w:val="left"/>
            </w:pPr>
            <w:r>
              <w:t xml:space="preserve">Brazil conilon offset (+107% in 2024) [^342^]</w:t>
            </w:r>
          </w:p>
        </w:tc>
        <w:tc>
          <w:tcPr/>
          <w:p>
            <w:pPr>
              <w:pStyle w:val="Compact"/>
              <w:jc w:val="left"/>
            </w:pPr>
            <w:r>
              <w:t xml:space="preserve">+72% (2024)</w:t>
            </w:r>
          </w:p>
        </w:tc>
      </w:tr>
      <w:tr>
        <w:tc>
          <w:tcPr/>
          <w:p>
            <w:pPr>
              <w:pStyle w:val="Compact"/>
              <w:jc w:val="left"/>
            </w:pPr>
            <w:r>
              <w:t xml:space="preserve">Arabica Coffee</w:t>
            </w:r>
          </w:p>
        </w:tc>
        <w:tc>
          <w:tcPr/>
          <w:p>
            <w:pPr>
              <w:pStyle w:val="Compact"/>
              <w:jc w:val="left"/>
            </w:pPr>
            <w:r>
              <w:t xml:space="preserve">0.66</w:t>
            </w:r>
          </w:p>
        </w:tc>
        <w:tc>
          <w:tcPr/>
          <w:p>
            <w:pPr>
              <w:pStyle w:val="Compact"/>
              <w:jc w:val="left"/>
            </w:pPr>
            <w:r>
              <w:t xml:space="preserve">Brazil (benefits from rain)</w:t>
            </w:r>
          </w:p>
        </w:tc>
        <w:tc>
          <w:tcPr/>
          <w:p>
            <w:pPr>
              <w:pStyle w:val="Compact"/>
              <w:jc w:val="left"/>
            </w:pPr>
            <w:r>
              <w:t xml:space="preserve">Vegetative phase heat can increase yields [^494^]</w:t>
            </w:r>
          </w:p>
        </w:tc>
        <w:tc>
          <w:tcPr/>
          <w:p>
            <w:pPr>
              <w:pStyle w:val="Compact"/>
              <w:jc w:val="left"/>
            </w:pPr>
            <w:r>
              <w:t xml:space="preserve">Self-cancels with robusta losses</w:t>
            </w:r>
          </w:p>
        </w:tc>
        <w:tc>
          <w:tcPr/>
          <w:p>
            <w:pPr>
              <w:pStyle w:val="Compact"/>
              <w:jc w:val="left"/>
            </w:pPr>
            <w:r>
              <w:t xml:space="preserve">Spread-driven, not directional</w:t>
            </w:r>
          </w:p>
        </w:tc>
      </w:tr>
      <w:tr>
        <w:tc>
          <w:tcPr/>
          <w:p>
            <w:pPr>
              <w:pStyle w:val="Compact"/>
              <w:jc w:val="left"/>
            </w:pPr>
            <w:r>
              <w:t xml:space="preserve">Sugar</w:t>
            </w:r>
          </w:p>
        </w:tc>
        <w:tc>
          <w:tcPr/>
          <w:p>
            <w:pPr>
              <w:pStyle w:val="Compact"/>
              <w:jc w:val="left"/>
            </w:pPr>
            <w:r>
              <w:t xml:space="preserve">1.17</w:t>
            </w:r>
          </w:p>
        </w:tc>
        <w:tc>
          <w:tcPr/>
          <w:p>
            <w:pPr>
              <w:pStyle w:val="Compact"/>
              <w:jc w:val="left"/>
            </w:pPr>
            <w:r>
              <w:t xml:space="preserve">India, Thailand monsoon</w:t>
            </w:r>
          </w:p>
        </w:tc>
        <w:tc>
          <w:tcPr/>
          <w:p>
            <w:pPr>
              <w:pStyle w:val="Compact"/>
              <w:jc w:val="left"/>
            </w:pPr>
            <w:r>
              <w:t xml:space="preserve">20–30% production fall in major exporters [^487^][^280^]</w:t>
            </w:r>
          </w:p>
        </w:tc>
        <w:tc>
          <w:tcPr/>
          <w:p>
            <w:pPr>
              <w:pStyle w:val="Compact"/>
              <w:jc w:val="left"/>
            </w:pPr>
            <w:r>
              <w:t xml:space="preserve">Brazil ethanol safety valve (3–4 MMT) [^269^]</w:t>
            </w:r>
          </w:p>
        </w:tc>
        <w:tc>
          <w:tcPr/>
          <w:p>
            <w:pPr>
              <w:pStyle w:val="Compact"/>
              <w:jc w:val="left"/>
            </w:pPr>
            <w:r>
              <w:t xml:space="preserve">Doubled (2015–16) [^7^]</w:t>
            </w:r>
          </w:p>
        </w:tc>
      </w:tr>
      <w:tr>
        <w:tc>
          <w:tcPr/>
          <w:p>
            <w:pPr>
              <w:pStyle w:val="Compact"/>
              <w:jc w:val="left"/>
            </w:pPr>
            <w:r>
              <w:t xml:space="preserve">Copper</w:t>
            </w:r>
          </w:p>
        </w:tc>
        <w:tc>
          <w:tcPr/>
          <w:p>
            <w:pPr>
              <w:pStyle w:val="Compact"/>
              <w:jc w:val="left"/>
            </w:pPr>
            <w:r>
              <w:t xml:space="preserve">1.56</w:t>
            </w:r>
          </w:p>
        </w:tc>
        <w:tc>
          <w:tcPr/>
          <w:p>
            <w:pPr>
              <w:pStyle w:val="Compact"/>
              <w:jc w:val="left"/>
            </w:pPr>
            <w:r>
              <w:t xml:space="preserve">Chile/Peru (~40% supply)</w:t>
            </w:r>
          </w:p>
        </w:tc>
        <w:tc>
          <w:tcPr/>
          <w:p>
            <w:pPr>
              <w:pStyle w:val="Compact"/>
              <w:jc w:val="left"/>
            </w:pPr>
            <w:r>
              <w:t xml:space="preserve">Flooding, infrastructure disruption [^406^]</w:t>
            </w:r>
          </w:p>
        </w:tc>
        <w:tc>
          <w:tcPr/>
          <w:p>
            <w:pPr>
              <w:pStyle w:val="Compact"/>
              <w:jc w:val="left"/>
            </w:pPr>
            <w:r>
              <w:t xml:space="preserve">Deficit market amplifies shocks; desalination investment [^465^]</w:t>
            </w:r>
          </w:p>
        </w:tc>
        <w:tc>
          <w:tcPr/>
          <w:p>
            <w:pPr>
              <w:pStyle w:val="Compact"/>
              <w:jc w:val="left"/>
            </w:pPr>
            <w:r>
              <w:t xml:space="preserve">+5.3% commodity basket [^81^]</w:t>
            </w:r>
          </w:p>
        </w:tc>
      </w:tr>
      <w:tr>
        <w:tc>
          <w:tcPr/>
          <w:p>
            <w:pPr>
              <w:pStyle w:val="Compact"/>
              <w:jc w:val="left"/>
            </w:pPr>
            <w:r>
              <w:t xml:space="preserve">Cotton</w:t>
            </w:r>
          </w:p>
        </w:tc>
        <w:tc>
          <w:tcPr/>
          <w:p>
            <w:pPr>
              <w:pStyle w:val="Compact"/>
              <w:jc w:val="left"/>
            </w:pPr>
            <w:r>
              <w:t xml:space="preserve">0.87</w:t>
            </w:r>
          </w:p>
        </w:tc>
        <w:tc>
          <w:tcPr/>
          <w:p>
            <w:pPr>
              <w:pStyle w:val="Compact"/>
              <w:jc w:val="left"/>
            </w:pPr>
            <w:r>
              <w:t xml:space="preserve">India/China monsoon</w:t>
            </w:r>
          </w:p>
        </w:tc>
        <w:tc>
          <w:tcPr/>
          <w:p>
            <w:pPr>
              <w:pStyle w:val="Compact"/>
              <w:jc w:val="left"/>
            </w:pPr>
            <w:r>
              <w:t xml:space="preserve">Monsoon-deficit yield reductions</w:t>
            </w:r>
          </w:p>
        </w:tc>
        <w:tc>
          <w:tcPr/>
          <w:p>
            <w:pPr>
              <w:pStyle w:val="Compact"/>
              <w:jc w:val="left"/>
            </w:pPr>
            <w:r>
              <w:t xml:space="preserve">Geographic diversification; synthetic substitution</w:t>
            </w:r>
          </w:p>
        </w:tc>
        <w:tc>
          <w:tcPr/>
          <w:p>
            <w:pPr>
              <w:pStyle w:val="Compact"/>
              <w:jc w:val="left"/>
            </w:pPr>
            <w:r>
              <w:t xml:space="preserve">Moderate, buffered by stocks</w:t>
            </w:r>
          </w:p>
        </w:tc>
      </w:tr>
    </w:tbl>
    <w:p>
      <w:pPr>
        <w:pStyle w:val="BodyText"/>
      </w:pPr>
      <w:r>
        <w:rPr>
          <w:bCs/>
          <w:b/>
        </w:rPr>
        <w:t xml:space="preserve">Analytical interpretation of Table 2.</w:t>
      </w:r>
      <w:r>
        <w:t xml:space="preserve"> </w:t>
      </w:r>
      <w:r>
        <w:t xml:space="preserve">The medium-high tier exhibits the widest divergence in El Niño responses. Robusta coffee and copper share high concentration in exposed regions but differ in disruption channels (drought vs. flooding). Sugar’s vulnerability is uniquely shaped by the ethanol diversion buffer, which transforms its response from linear to threshold-type. Arabica’s potential benefit from El Niño creates a partial hedge within the coffee complex. The net effect is that a diversified basket of these five commodities produces less extreme volatility than either cocoa or palm oil individually, but still carries meaningful directional risk during strong El Niño events. Investors should note that copper’s vulnerability is increasing over time as structural deficits widen, while sugar’s is partially contained by the ethanol safety valve. Cotton’s position is the most stable in this tier due to its broad geographic base and demand elasticity.</w:t>
      </w:r>
    </w:p>
    <w:p>
      <w:r>
        <w:pict>
          <v:rect style="width:0;height:1.5pt" o:hralign="center" o:hrstd="t" o:hr="t"/>
        </w:pict>
      </w:r>
    </w:p>
    <w:bookmarkEnd w:id="60"/>
    <w:bookmarkEnd w:id="61"/>
    <w:bookmarkStart w:id="66" w:name="Xe2fe8991d34937d3f185a831ab13ad3ab260a2e"/>
    <w:p>
      <w:pPr>
        <w:pStyle w:val="Heading3"/>
      </w:pPr>
      <w:r>
        <w:t xml:space="preserve">3.3 Moderate Vulnerability Tier: Grains and Oilseeds</w:t>
      </w:r>
    </w:p>
    <w:p>
      <w:pPr>
        <w:pStyle w:val="FirstParagraph"/>
      </w:pPr>
      <w:r>
        <w:t xml:space="preserve">The moderate tier comprises commodities with globally diversified production, adequate stock buffers, and spatially heterogeneous El Niño effects that partially cancel at the aggregate level. The</w:t>
      </w:r>
      <w:r>
        <w:t xml:space="preserve"> </w:t>
      </w:r>
      <w:r>
        <w:t xml:space="preserve">“</w:t>
      </w:r>
      <w:r>
        <w:t xml:space="preserve">Brazilian Neutrality Paradox</w:t>
      </w:r>
      <w:r>
        <w:t xml:space="preserve">”</w:t>
      </w:r>
      <w:r>
        <w:t xml:space="preserve"> </w:t>
      </w:r>
      <w:r>
        <w:t xml:space="preserve">— whereby Brazil’s gains offset Southeast Asia’s losses — is most operative here.</w:t>
      </w:r>
    </w:p>
    <w:bookmarkStart w:id="62" w:name="X01fcf8dfe839d1024353cb0dd36f46dd8a4dfc5"/>
    <w:p>
      <w:pPr>
        <w:pStyle w:val="Heading4"/>
      </w:pPr>
      <w:r>
        <w:t xml:space="preserve">3.3.1 Soybeans (Score 1.22): The Structural Shift to South America</w:t>
      </w:r>
    </w:p>
    <w:p>
      <w:pPr>
        <w:pStyle w:val="FirstParagraph"/>
      </w:pPr>
      <w:r>
        <w:t xml:space="preserve">Soybeans exemplify the Brazilian neutrality dynamic. Iizumi et al. (2014) found El Niño likely improves global-mean soybean yield by 2.1–5.4% because</w:t>
      </w:r>
      <w:r>
        <w:t xml:space="preserve"> </w:t>
      </w:r>
      <w:r>
        <w:t xml:space="preserve">“</w:t>
      </w:r>
      <w:r>
        <w:t xml:space="preserve">El Niño’s rainfall patterns favor big U.S. and Brazilian soybean harvests simultaneously</w:t>
      </w:r>
      <w:r>
        <w:t xml:space="preserve">”</w:t>
      </w:r>
      <w:r>
        <w:t xml:space="preserve"> </w:t>
      </w:r>
      <w:r>
        <w:t xml:space="preserve">[^289^][^297^]. Brazil’s 2023–24 production achieved a record ~158–161 million tonnes despite severe drought in Mato Grosso, because gains in Rio Grande do Sul (second-wettest November in 30 years, yields up 65% year-on-year) offset northern losses [^394^][^395^].</w:t>
      </w:r>
    </w:p>
    <w:p>
      <w:pPr>
        <w:pStyle w:val="BodyText"/>
      </w:pPr>
      <w:r>
        <w:t xml:space="preserve">However, this neutrality is fragile. The structural shift of production to South America — Brazil’s share of global trade rose from 38.8% a decade ago to 59.2% in 2025–26, while the US share fell from 39.8% to 22.6% [^302^] — concentrates future exposure. A 2026 Springer study found ONI-based ENSO signals explain very little of Brazil’s national soybean yield variability (R² = 0.04) because regional effects cancel, but this assumes both regions perform as expected [^287^]. If El Niño spatial patterns shift, the cancellation breaks down. China’s import dependency amplifies sensitivity: Brazil exported 101.86 million tonnes in 2024, with ~65% going to China [^295^][^294^].</w:t>
      </w:r>
    </w:p>
    <w:bookmarkEnd w:id="62"/>
    <w:bookmarkStart w:id="63" w:name="corn-score-0.64-safrinha-timing-risk"/>
    <w:p>
      <w:pPr>
        <w:pStyle w:val="Heading4"/>
      </w:pPr>
      <w:r>
        <w:t xml:space="preserve">3.3.2 Corn (Score 0.64): Safrinha Timing Risk</w:t>
      </w:r>
    </w:p>
    <w:p>
      <w:pPr>
        <w:pStyle w:val="FirstParagraph"/>
      </w:pPr>
      <w:r>
        <w:t xml:space="preserve">Corn’s primary vulnerability is not through US production — relative Niño 3.4 shows near-zero correlation (r = +0.01) with July Corn Belt precipitation [^241^], and US corn yields set records in 2023 (177.3 bu/acre) and 2024 (179.3 bu/acre) [^396^][^404^] — but through Brazil’s safrinha timing. Safrinha accounts for ~76–80% of Brazil’s total corn production [^466^][^470^], and the ideal planting window closes around February 20.</w:t>
      </w:r>
    </w:p>
    <w:p>
      <w:pPr>
        <w:pStyle w:val="BodyText"/>
      </w:pPr>
      <w:r>
        <w:t xml:space="preserve">In 2023–24, El Niño-driven soybean planting delays caused safrinha planting to start 3–4 weeks late, with only 9% planted by early February versus 27% the prior year [^329^]. Late-planted safrinha pollinates deeper into the dry season, risking yield losses if the dry season begins early [^333^]. This timing compression is Brazil’s corn</w:t>
      </w:r>
      <w:r>
        <w:t xml:space="preserve"> </w:t>
      </w:r>
      <w:r>
        <w:t xml:space="preserve">“</w:t>
      </w:r>
      <w:r>
        <w:t xml:space="preserve">Achilles heel</w:t>
      </w:r>
      <w:r>
        <w:t xml:space="preserve">”</w:t>
      </w:r>
      <w:r>
        <w:t xml:space="preserve"> </w:t>
      </w:r>
      <w:r>
        <w:t xml:space="preserve">— the channel through which El Niño can cause significant global supply disruption. Argentina’s corn, by contrast, tends to benefit from El Niño rainfall: 2015–16 saw yields 7% above the 10-year average [^464^].</w:t>
      </w:r>
    </w:p>
    <w:bookmarkEnd w:id="63"/>
    <w:bookmarkStart w:id="64" w:name="X741b0065100558df0c766951fa86ea5e79a0dc4"/>
    <w:p>
      <w:pPr>
        <w:pStyle w:val="Heading4"/>
      </w:pPr>
      <w:r>
        <w:t xml:space="preserve">3.3.3 Wheat (Score 0.56): Australian Drought Pattern, Global Buffer</w:t>
      </w:r>
    </w:p>
    <w:p>
      <w:pPr>
        <w:pStyle w:val="FirstParagraph"/>
      </w:pPr>
      <w:r>
        <w:t xml:space="preserve">Wheat’s low score reflects adequate global stock buffers and offsetting regional patterns. The World Bank found agricultural prices declined or stayed flat in five of six El Niño episodes since 1980 [^5^]. Global wheat stock-to-use ratio has remained near 30%+, providing substantial buffer [^479^].</w:t>
      </w:r>
    </w:p>
    <w:p>
      <w:pPr>
        <w:pStyle w:val="BodyText"/>
      </w:pPr>
      <w:r>
        <w:t xml:space="preserve">The primary vulnerability is Australian wheat. In six out of nine moderate-to-strong El Niño events since 1980, Australian production dropped significantly, with four cases at least 30% below trend [^284^]. The 2023–24 El Niño saw ABARES forecast a 28% production drop to 28.2 MMT [^509^]. Australian yield potential has declined 27% since 1990 due to climate change [^283^]. However, Australia’s ~10–12% share of global wheat exports is small enough that shortfalls are absorbed by stocks and alternative exporters.</w:t>
      </w:r>
    </w:p>
    <w:bookmarkEnd w:id="64"/>
    <w:bookmarkStart w:id="65" w:name="X08f00b57297f2c403b2ffbe1b2f2474c8a08950"/>
    <w:p>
      <w:pPr>
        <w:pStyle w:val="Heading4"/>
      </w:pPr>
      <w:r>
        <w:t xml:space="preserve">3.3.4 Rice (Score 0.57): Asian Monsoon Dependent, Policy-Driven</w:t>
      </w:r>
    </w:p>
    <w:p>
      <w:pPr>
        <w:pStyle w:val="FirstParagraph"/>
      </w:pPr>
      <w:r>
        <w:t xml:space="preserve">Rice presents a paradox: El Niño’s direct global-mean yield impact is only −0.37% to −1.33% because rice is heavily irrigated in Asia [^481^], yet rice markets experience sharp price spikes driven by government policy responses. India’s 2023 rice export ban, citing El Niño risks, caused Thai prices to rise 14%, Vietnamese prices 22%, and Indian white rice prices 12% within months [^90^][^317^]. Sub-Saharan African consumers paid an estimated additional $3.8 billion [^482^].</w:t>
      </w:r>
    </w:p>
    <w:p>
      <w:pPr>
        <w:pStyle w:val="BodyText"/>
      </w:pPr>
      <w:r>
        <w:t xml:space="preserve">Iizumi et al. (2014) identified rice as having the highest probability (6.6%) of simultaneous multi-country loss during El Niño [^378^]. The Mekong Delta faces severe salinity intrusion — the 2015–16 event caused saltwater to intrude 90+ km inland, resulting in 1.2 million tonnes of production loss [^318^][^481^]. China’s production shows minimal ENSO sensitivity due to irrigation, but India’s monsoon dependence and aggressive export restrictions create systematic price spike risk.</w:t>
      </w:r>
    </w:p>
    <w:p>
      <w:pPr>
        <w:pStyle w:val="BodyText"/>
      </w:pPr>
      <w:r>
        <w:rPr>
          <w:bCs/>
          <w:b/>
        </w:rPr>
        <w:t xml:space="preserve">Table 3: Moderate Vulnerability Tier — Grains and Oilseeds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Commodity</w:t>
            </w:r>
          </w:p>
        </w:tc>
        <w:tc>
          <w:tcPr/>
          <w:p>
            <w:pPr>
              <w:pStyle w:val="Compact"/>
              <w:jc w:val="left"/>
            </w:pPr>
            <w:r>
              <w:t xml:space="preserve">Score</w:t>
            </w:r>
          </w:p>
        </w:tc>
        <w:tc>
          <w:tcPr/>
          <w:p>
            <w:pPr>
              <w:pStyle w:val="Compact"/>
              <w:jc w:val="left"/>
            </w:pPr>
            <w:r>
              <w:t xml:space="preserve">Primary Exposure</w:t>
            </w:r>
          </w:p>
        </w:tc>
        <w:tc>
          <w:tcPr/>
          <w:p>
            <w:pPr>
              <w:pStyle w:val="Compact"/>
              <w:jc w:val="left"/>
            </w:pPr>
            <w:r>
              <w:t xml:space="preserve">El Niño Direction</w:t>
            </w:r>
          </w:p>
        </w:tc>
        <w:tc>
          <w:tcPr/>
          <w:p>
            <w:pPr>
              <w:pStyle w:val="Compact"/>
              <w:jc w:val="left"/>
            </w:pPr>
            <w:r>
              <w:t xml:space="preserve">Offsetting Mechanism</w:t>
            </w:r>
          </w:p>
        </w:tc>
        <w:tc>
          <w:tcPr/>
          <w:p>
            <w:pPr>
              <w:pStyle w:val="Compact"/>
              <w:jc w:val="left"/>
            </w:pPr>
            <w:r>
              <w:t xml:space="preserve">Structural Trend</w:t>
            </w:r>
          </w:p>
        </w:tc>
      </w:tr>
      <w:tr>
        <w:tc>
          <w:tcPr/>
          <w:p>
            <w:pPr>
              <w:pStyle w:val="Compact"/>
              <w:jc w:val="left"/>
            </w:pPr>
            <w:r>
              <w:t xml:space="preserve">Soybeans</w:t>
            </w:r>
          </w:p>
        </w:tc>
        <w:tc>
          <w:tcPr/>
          <w:p>
            <w:pPr>
              <w:pStyle w:val="Compact"/>
              <w:jc w:val="left"/>
            </w:pPr>
            <w:r>
              <w:t xml:space="preserve">1.22</w:t>
            </w:r>
          </w:p>
        </w:tc>
        <w:tc>
          <w:tcPr/>
          <w:p>
            <w:pPr>
              <w:pStyle w:val="Compact"/>
              <w:jc w:val="left"/>
            </w:pPr>
            <w:r>
              <w:t xml:space="preserve">Brazil Mato Grosso drought</w:t>
            </w:r>
          </w:p>
        </w:tc>
        <w:tc>
          <w:tcPr/>
          <w:p>
            <w:pPr>
              <w:pStyle w:val="Compact"/>
              <w:jc w:val="left"/>
            </w:pPr>
            <w:r>
              <w:t xml:space="preserve">Mixed — global yield +2.1–5.4% [^289^]</w:t>
            </w:r>
          </w:p>
        </w:tc>
        <w:tc>
          <w:tcPr/>
          <w:p>
            <w:pPr>
              <w:pStyle w:val="Compact"/>
              <w:jc w:val="left"/>
            </w:pPr>
            <w:r>
              <w:t xml:space="preserve">Brazil south offsets north; US record yields</w:t>
            </w:r>
          </w:p>
        </w:tc>
        <w:tc>
          <w:tcPr/>
          <w:p>
            <w:pPr>
              <w:pStyle w:val="Compact"/>
              <w:jc w:val="left"/>
            </w:pPr>
            <w:r>
              <w:t xml:space="preserve">South American concentration rising</w:t>
            </w:r>
          </w:p>
        </w:tc>
      </w:tr>
      <w:tr>
        <w:tc>
          <w:tcPr/>
          <w:p>
            <w:pPr>
              <w:pStyle w:val="Compact"/>
              <w:jc w:val="left"/>
            </w:pPr>
            <w:r>
              <w:t xml:space="preserve">Corn</w:t>
            </w:r>
          </w:p>
        </w:tc>
        <w:tc>
          <w:tcPr/>
          <w:p>
            <w:pPr>
              <w:pStyle w:val="Compact"/>
              <w:jc w:val="left"/>
            </w:pPr>
            <w:r>
              <w:t xml:space="preserve">0.64</w:t>
            </w:r>
          </w:p>
        </w:tc>
        <w:tc>
          <w:tcPr/>
          <w:p>
            <w:pPr>
              <w:pStyle w:val="Compact"/>
              <w:jc w:val="left"/>
            </w:pPr>
            <w:r>
              <w:t xml:space="preserve">Brazil safrinha timing</w:t>
            </w:r>
          </w:p>
        </w:tc>
        <w:tc>
          <w:tcPr/>
          <w:p>
            <w:pPr>
              <w:pStyle w:val="Compact"/>
              <w:jc w:val="left"/>
            </w:pPr>
            <w:r>
              <w:t xml:space="preserve">Negative if window compressed</w:t>
            </w:r>
          </w:p>
        </w:tc>
        <w:tc>
          <w:tcPr/>
          <w:p>
            <w:pPr>
              <w:pStyle w:val="Compact"/>
              <w:jc w:val="left"/>
            </w:pPr>
            <w:r>
              <w:t xml:space="preserve">US yields near-neutral to El Niño [^241^]</w:t>
            </w:r>
          </w:p>
        </w:tc>
        <w:tc>
          <w:tcPr/>
          <w:p>
            <w:pPr>
              <w:pStyle w:val="Compact"/>
              <w:jc w:val="left"/>
            </w:pPr>
            <w:r>
              <w:t xml:space="preserve">Safrinha share rising (76–80%)</w:t>
            </w:r>
          </w:p>
        </w:tc>
      </w:tr>
      <w:tr>
        <w:tc>
          <w:tcPr/>
          <w:p>
            <w:pPr>
              <w:pStyle w:val="Compact"/>
              <w:jc w:val="left"/>
            </w:pPr>
            <w:r>
              <w:t xml:space="preserve">Wheat</w:t>
            </w:r>
          </w:p>
        </w:tc>
        <w:tc>
          <w:tcPr/>
          <w:p>
            <w:pPr>
              <w:pStyle w:val="Compact"/>
              <w:jc w:val="left"/>
            </w:pPr>
            <w:r>
              <w:t xml:space="preserve">0.56</w:t>
            </w:r>
          </w:p>
        </w:tc>
        <w:tc>
          <w:tcPr/>
          <w:p>
            <w:pPr>
              <w:pStyle w:val="Compact"/>
              <w:jc w:val="left"/>
            </w:pPr>
            <w:r>
              <w:t xml:space="preserve">Australia drought</w:t>
            </w:r>
          </w:p>
        </w:tc>
        <w:tc>
          <w:tcPr/>
          <w:p>
            <w:pPr>
              <w:pStyle w:val="Compact"/>
              <w:jc w:val="left"/>
            </w:pPr>
            <w:r>
              <w:t xml:space="preserve">Negative for Australia; positive for US, Argentina</w:t>
            </w:r>
          </w:p>
        </w:tc>
        <w:tc>
          <w:tcPr/>
          <w:p>
            <w:pPr>
              <w:pStyle w:val="Compact"/>
              <w:jc w:val="left"/>
            </w:pPr>
            <w:r>
              <w:t xml:space="preserve">Global stocks buffer (30%+ stock-to-use) [^5^]</w:t>
            </w:r>
          </w:p>
        </w:tc>
        <w:tc>
          <w:tcPr/>
          <w:p>
            <w:pPr>
              <w:pStyle w:val="Compact"/>
              <w:jc w:val="left"/>
            </w:pPr>
            <w:r>
              <w:t xml:space="preserve">Australian yield potential declining</w:t>
            </w:r>
          </w:p>
        </w:tc>
      </w:tr>
      <w:tr>
        <w:tc>
          <w:tcPr/>
          <w:p>
            <w:pPr>
              <w:pStyle w:val="Compact"/>
              <w:jc w:val="left"/>
            </w:pPr>
            <w:r>
              <w:t xml:space="preserve">Rice</w:t>
            </w:r>
          </w:p>
        </w:tc>
        <w:tc>
          <w:tcPr/>
          <w:p>
            <w:pPr>
              <w:pStyle w:val="Compact"/>
              <w:jc w:val="left"/>
            </w:pPr>
            <w:r>
              <w:t xml:space="preserve">0.57</w:t>
            </w:r>
          </w:p>
        </w:tc>
        <w:tc>
          <w:tcPr/>
          <w:p>
            <w:pPr>
              <w:pStyle w:val="Compact"/>
              <w:jc w:val="left"/>
            </w:pPr>
            <w:r>
              <w:t xml:space="preserve">India monsoon, Mekong salinity</w:t>
            </w:r>
          </w:p>
        </w:tc>
        <w:tc>
          <w:tcPr/>
          <w:p>
            <w:pPr>
              <w:pStyle w:val="Compact"/>
              <w:jc w:val="left"/>
            </w:pPr>
            <w:r>
              <w:t xml:space="preserve">−1.33% global yield; policy spikes larger</w:t>
            </w:r>
          </w:p>
        </w:tc>
        <w:tc>
          <w:tcPr/>
          <w:p>
            <w:pPr>
              <w:pStyle w:val="Compact"/>
              <w:jc w:val="left"/>
            </w:pPr>
            <w:r>
              <w:t xml:space="preserve">China irrigation buffer; Indonesia stocks</w:t>
            </w:r>
          </w:p>
        </w:tc>
        <w:tc>
          <w:tcPr/>
          <w:p>
            <w:pPr>
              <w:pStyle w:val="Compact"/>
              <w:jc w:val="left"/>
            </w:pPr>
            <w:r>
              <w:t xml:space="preserve">Indian export restrictions as policy tool</w:t>
            </w:r>
          </w:p>
        </w:tc>
      </w:tr>
    </w:tbl>
    <w:p>
      <w:pPr>
        <w:pStyle w:val="BodyText"/>
      </w:pPr>
      <w:r>
        <w:rPr>
          <w:bCs/>
          <w:b/>
        </w:rPr>
        <w:t xml:space="preserve">Analytical interpretation of Table 3.</w:t>
      </w:r>
      <w:r>
        <w:t xml:space="preserve"> </w:t>
      </w:r>
      <w:r>
        <w:t xml:space="preserve">The moderate tier illustrates the</w:t>
      </w:r>
      <w:r>
        <w:t xml:space="preserve"> </w:t>
      </w:r>
      <w:r>
        <w:t xml:space="preserve">“</w:t>
      </w:r>
      <w:r>
        <w:t xml:space="preserve">Brazilian Neutrality Paradox</w:t>
      </w:r>
      <w:r>
        <w:t xml:space="preserve">”</w:t>
      </w:r>
      <w:r>
        <w:t xml:space="preserve"> </w:t>
      </w:r>
      <w:r>
        <w:t xml:space="preserve">most clearly. Soybeans and corn represent two sides of the same coin: soybeans benefit overall (wet south, dry north, effects cancel), while corn suffers from timing consequences of those rainfall patterns. Wheat’s vulnerability is geographically concentrated in Australia but globally diluted. Rice’s paradox — small physical impact, large price impact — highlights that for commodities with thin trade volumes and heavy government intervention, policy responses can exceed climate impacts. This tier demonstrates that geographic diversification and stock buffers are the primary determinants of resilience, but structural shifts in trade patterns can erode this over time.</w:t>
      </w:r>
    </w:p>
    <w:p>
      <w:r>
        <w:pict>
          <v:rect style="width:0;height:1.5pt" o:hralign="center" o:hrstd="t" o:hr="t"/>
        </w:pict>
      </w:r>
    </w:p>
    <w:bookmarkEnd w:id="65"/>
    <w:bookmarkEnd w:id="66"/>
    <w:bookmarkStart w:id="69" w:name="negative-correlation-tier-natural-gas"/>
    <w:p>
      <w:pPr>
        <w:pStyle w:val="Heading3"/>
      </w:pPr>
      <w:r>
        <w:t xml:space="preserve">3.4 Negative Correlation Tier: Natural Gas</w:t>
      </w:r>
    </w:p>
    <w:bookmarkStart w:id="67" w:name="Xf999fc2f04c2cb2f557f81f509c882034133b3e"/>
    <w:p>
      <w:pPr>
        <w:pStyle w:val="Heading4"/>
      </w:pPr>
      <w:r>
        <w:t xml:space="preserve">3.4.1 Natural Gas (Score −1.48): Heating Demand Destruction</w:t>
      </w:r>
    </w:p>
    <w:p>
      <w:pPr>
        <w:pStyle w:val="FirstParagraph"/>
      </w:pPr>
      <w:r>
        <w:t xml:space="preserve">Natural Gas is the only commodity with a reliably negative El Niño correlation. The mechanism is straightforward: El Niño brings warmer-than-average winters to the Northern Hemisphere, reducing heating demand.</w:t>
      </w:r>
    </w:p>
    <w:p>
      <w:pPr>
        <w:pStyle w:val="BodyText"/>
      </w:pPr>
      <w:r>
        <w:t xml:space="preserve">The 2015–16 super El Niño provides the canonical case. US heating degree days fell 18% nationally, residential natural gas consumption fell 7%, and commercial demand fell 4% [^38^][^257^]. Natural gas storage reached 1,472 Bcf by April 2016 — 69% higher than the prior year [^38^]. Henry Hub spot prices averaged $2.49/MMBtu in 2016, the lowest annual average since 1999, with monthly averages below $2.00 from February through May 2016 [^257^]. Prices tumbled 72% from February 2014 to February 2016 [^68^]. Storage hit a record 4,047 Bcf in November 2016 [^440^].</w:t>
      </w:r>
    </w:p>
    <w:p>
      <w:pPr>
        <w:pStyle w:val="BodyText"/>
      </w:pPr>
      <w:r>
        <w:t xml:space="preserve">The pattern holds across events. During 1997–98, Henry Hub prices fell sharply through 1998, with storage swelling by as much as 500 Bcf above year-ago levels [^433^]. The 2023–24</w:t>
      </w:r>
      <w:r>
        <w:t xml:space="preserve"> </w:t>
      </w:r>
      <w:r>
        <w:t xml:space="preserve">“</w:t>
      </w:r>
      <w:r>
        <w:t xml:space="preserve">Super</w:t>
      </w:r>
      <w:r>
        <w:t xml:space="preserve">”</w:t>
      </w:r>
      <w:r>
        <w:t xml:space="preserve"> </w:t>
      </w:r>
      <w:r>
        <w:t xml:space="preserve">El Niño recorded the lowest residential gas consumption in both US and UK over the past five winter seasons [^48^]. The GECF Secretariat confirmed that</w:t>
      </w:r>
      <w:r>
        <w:t xml:space="preserve"> </w:t>
      </w:r>
      <w:r>
        <w:t xml:space="preserve">“</w:t>
      </w:r>
      <w:r>
        <w:t xml:space="preserve">El Niño typically leads to warmer-than-average winters in the Northern Hemisphere, reducing gas demand in major gas-consuming regions</w:t>
      </w:r>
      <w:r>
        <w:t xml:space="preserve">”</w:t>
      </w:r>
      <w:r>
        <w:t xml:space="preserve"> </w:t>
      </w:r>
      <w:r>
        <w:t xml:space="preserve">[^48^]. BNEF modeling suggests gas demand could be 2.2 billion cubic meters below base case in El Niño winters [^51^].</w:t>
      </w:r>
    </w:p>
    <w:bookmarkEnd w:id="67"/>
    <w:bookmarkStart w:id="68" w:name="X6e4bf00b66dfabc356ccb0caf9f54a2340e9804"/>
    <w:p>
      <w:pPr>
        <w:pStyle w:val="Heading4"/>
      </w:pPr>
      <w:r>
        <w:t xml:space="preserve">3.4.2 Hydroelectric Disruption Creates Regional Gas Demand Spikes</w:t>
      </w:r>
    </w:p>
    <w:p>
      <w:pPr>
        <w:pStyle w:val="FirstParagraph"/>
      </w:pPr>
      <w:r>
        <w:t xml:space="preserve">The negative correlation is not universal. El Niño creates</w:t>
      </w:r>
      <w:r>
        <w:t xml:space="preserve"> </w:t>
      </w:r>
      <w:r>
        <w:rPr>
          <w:iCs/>
          <w:i/>
        </w:rPr>
        <w:t xml:space="preserve">regional</w:t>
      </w:r>
      <w:r>
        <w:t xml:space="preserve"> </w:t>
      </w:r>
      <w:r>
        <w:t xml:space="preserve">gas demand spikes through hydroelectric disruption. The 2015–16 Colombian drought — a 1-in-50-year event — caused electricity spot prices to spike from $30–50/MWh to over $400/MWh, an 8× increase [^34^][^316^]. Colombia’s LNG imports surged 1,200% year-on-year in early 2024 [^517^]. Brazil’s Cantareira reservoir sank to 5% of capacity in January 2015 [^245^]. India faces a projected 17.7–24 TWh fossil fuel generation increase during a strong 2026–27 El Niño [^238^][^67^]. China’s Yunnan province saw a 43% hydropower decrease in May 2023, forcing an 86% surge in coal power [^356^].</w:t>
      </w:r>
    </w:p>
    <w:p>
      <w:pPr>
        <w:pStyle w:val="BodyText"/>
      </w:pPr>
      <w:r>
        <w:t xml:space="preserve">These regional spikes partially offset Northern Hemisphere demand destruction, but the net effect on Henry Hub remains negative. The emerging dynamic is the</w:t>
      </w:r>
      <w:r>
        <w:t xml:space="preserve"> </w:t>
      </w:r>
      <w:r>
        <w:t xml:space="preserve">“</w:t>
      </w:r>
      <w:r>
        <w:t xml:space="preserve">renewable vulnerability feedback loop</w:t>
      </w:r>
      <w:r>
        <w:t xml:space="preserve">”</w:t>
      </w:r>
      <w:r>
        <w:t xml:space="preserve">: as countries build renewable capacity, they increase exposure to El Niño-driven intermittency. China’s installed PV capacity has grown nearly 15-fold since 2015–16, making the grid vulnerable to 10% PV output reduction during Super El Niño events [^55^]. This creates an asymmetric call option on fossil fuel demand during El Niño years that will grow as renewable penetration increases. LNG shipping faces additional disruption: the 2023 El Niño reduced Panama Canal water levels, forcing LNG carriers to reroute via Cape of Good Hope, increasing sailing times and costs [^48^].</w:t>
      </w:r>
    </w:p>
    <w:p>
      <w:r>
        <w:pict>
          <v:rect style="width:0;height:1.5pt" o:hralign="center" o:hrstd="t" o:hr="t"/>
        </w:pict>
      </w:r>
    </w:p>
    <w:bookmarkEnd w:id="68"/>
    <w:bookmarkEnd w:id="69"/>
    <w:bookmarkStart w:id="72" w:name="low-sensitivity-tier-precious-metals"/>
    <w:p>
      <w:pPr>
        <w:pStyle w:val="Heading3"/>
      </w:pPr>
      <w:r>
        <w:t xml:space="preserve">3.5 Low Sensitivity Tier: Precious Metals</w:t>
      </w:r>
    </w:p>
    <w:bookmarkStart w:id="70" w:name="Xa5d64d9f058e835dac366864b0bb5d526e8857d"/>
    <w:p>
      <w:pPr>
        <w:pStyle w:val="Heading4"/>
      </w:pPr>
      <w:r>
        <w:t xml:space="preserve">3.5.1 Gold (Score 0.04): Small Direct Effect, Inflation Hedge Function</w:t>
      </w:r>
    </w:p>
    <w:p>
      <w:pPr>
        <w:pStyle w:val="FirstParagraph"/>
      </w:pPr>
      <w:r>
        <w:t xml:space="preserve">Gold’s score of 0.04 reflects the absence of any direct El Niño-gold price causation. Ubilava (2016) found</w:t>
      </w:r>
      <w:r>
        <w:t xml:space="preserve"> </w:t>
      </w:r>
      <w:r>
        <w:t xml:space="preserve">“</w:t>
      </w:r>
      <w:r>
        <w:t xml:space="preserve">the ENSO effect on gold prices, while statistically insignificant, is not economically meaningful</w:t>
      </w:r>
      <w:r>
        <w:t xml:space="preserve">”</w:t>
      </w:r>
      <w:r>
        <w:t xml:space="preserve"> </w:t>
      </w:r>
      <w:r>
        <w:t xml:space="preserve">— approximately a tenth of a percentage point [^8^]. Gold’s correlation with ONI is 0.0433 — not statistically significant [^106^].</w:t>
      </w:r>
    </w:p>
    <w:p>
      <w:pPr>
        <w:pStyle w:val="BodyText"/>
      </w:pPr>
      <w:r>
        <w:t xml:space="preserve">However, gold functions as an</w:t>
      </w:r>
      <w:r>
        <w:t xml:space="preserve"> </w:t>
      </w:r>
      <w:r>
        <w:rPr>
          <w:iCs/>
          <w:i/>
        </w:rPr>
        <w:t xml:space="preserve">indirect</w:t>
      </w:r>
      <w:r>
        <w:t xml:space="preserve"> </w:t>
      </w:r>
      <w:r>
        <w:t xml:space="preserve">hedge through the inflation channel. When El Niño drives broader commodity price inflation — Cashin et al. (2017) found non-fuel commodity prices increase 5.31% after four quarters [^81^] — gold’s role as an inflation hedge activates. Salisu et al. (2022), using a GVAR framework, found real gold returns increase by 1.87 percentage points over 41 quarters following an El Niño shock — significant at the 5% level [^550^]. The discrepancy with Ubilava reflects methodology: GVAR captures general equilibrium spillovers that single-equation models miss.</w:t>
      </w:r>
    </w:p>
    <w:p>
      <w:pPr>
        <w:pStyle w:val="BodyText"/>
      </w:pPr>
      <w:r>
        <w:t xml:space="preserve">The investment implication is that gold serves as a general inflation hedge that activates when El Niño-driven commodity inflation combines with broader macro stress — weak USD, geopolitical risk, central bank buying — rather than as a specific El Niño play. Central bank purchases exceeded 1,000 tonnes for the third consecutive year in 2024 [^566^], driven by de-dollarization, but climate-driven food and energy inflation may reinforce the trend toward hard assets. The Banco de España (2024) finding that El Niño</w:t>
      </w:r>
      <w:r>
        <w:t xml:space="preserve"> </w:t>
      </w:r>
      <w:r>
        <w:rPr>
          <w:iCs/>
          <w:i/>
        </w:rPr>
        <w:t xml:space="preserve">decreases</w:t>
      </w:r>
      <w:r>
        <w:t xml:space="preserve"> </w:t>
      </w:r>
      <w:r>
        <w:t xml:space="preserve">euro area inflation by ~0.3pp post-1997 [^99^] — due to EU Common Agricultural Policy shielding consumers — suggests gold’s hedging value may be geography-dependent, more effective for emerging market investors where food accounts for a larger CPI share.</w:t>
      </w:r>
    </w:p>
    <w:bookmarkEnd w:id="70"/>
    <w:bookmarkStart w:id="71" w:name="silver-score-0.12-two-phase-demand-model"/>
    <w:p>
      <w:pPr>
        <w:pStyle w:val="Heading4"/>
      </w:pPr>
      <w:r>
        <w:t xml:space="preserve">3.5.2 Silver (Score 0.12): Two-Phase Demand Model</w:t>
      </w:r>
    </w:p>
    <w:p>
      <w:pPr>
        <w:pStyle w:val="FirstParagraph"/>
      </w:pPr>
      <w:r>
        <w:t xml:space="preserve">Silver’s slightly higher score reflects its dual nature as precious metal and industrial commodity. Salisu et al. (2022) found real silver returns increase by 2.51 percentage points after El Niño shock —</w:t>
      </w:r>
      <w:r>
        <w:t xml:space="preserve"> </w:t>
      </w:r>
      <w:r>
        <w:t xml:space="preserve">“</w:t>
      </w:r>
      <w:r>
        <w:t xml:space="preserve">more than double those of gold</w:t>
      </w:r>
      <w:r>
        <w:t xml:space="preserve">”</w:t>
      </w:r>
      <w:r>
        <w:t xml:space="preserve"> </w:t>
      </w:r>
      <w:r>
        <w:t xml:space="preserve">— with peak effect at 3 quarters [^550^]. However, silver’s industrial demand (55–61% of total, with solar PV consuming ~232 Moz in 2024) [^554^][^575^] creates a two-phase response.</w:t>
      </w:r>
    </w:p>
    <w:p>
      <w:pPr>
        <w:pStyle w:val="BodyText"/>
      </w:pPr>
      <w:r>
        <w:t xml:space="preserve">During the initial phase, silver may sell off with industrial commodities as markets price reduced solar PV output (Super El Niño can reduce PV potential by up to 10% in East China) [^55^]. In the second phase, as commodity inflation materializes, monetary demand recovers. The structural silver supply deficit — 148.9 Moz in 2024, cumulative 2021–2024 deficits of 678 Moz [^575^][^611^] — provides price support, but the two-phase pattern means silver’s path is more volatile than gold’s during El Niño transitions. For investors seeking El Niño exposure, silver’s structural deficit and 2× inflation hedge effectiveness per Salisu et al. make it the preferred instrument within precious metals, but with higher volatility risk.</w:t>
      </w:r>
    </w:p>
    <w:p>
      <w:pPr>
        <w:pStyle w:val="BodyText"/>
      </w:pPr>
      <w:r>
        <w:rPr>
          <w:bCs/>
          <w:b/>
        </w:rPr>
        <w:t xml:space="preserve">Table 4: Complete Vulnerability Scoring Matrix — All 14 Commodities</w:t>
      </w:r>
    </w:p>
    <w:tbl>
      <w:tblPr>
        <w:tblStyle w:val="Table"/>
        <w:tblW w:type="pct" w:w="5000"/>
        <w:tblLook w:firstRow="1" w:lastRow="0" w:firstColumn="0" w:lastColumn="0" w:noHBand="0" w:noVBand="0" w:val="0020"/>
      </w:tblPr>
      <w:tblGrid>
        <w:gridCol w:w="960"/>
        <w:gridCol w:w="960"/>
        <w:gridCol w:w="1200"/>
        <w:gridCol w:w="1200"/>
        <w:gridCol w:w="1200"/>
        <w:gridCol w:w="1200"/>
        <w:gridCol w:w="1200"/>
      </w:tblGrid>
      <w:tr>
        <w:trPr>
          <w:tblHeader w:val="true"/>
        </w:trPr>
        <w:tc>
          <w:tcPr/>
          <w:p>
            <w:pPr>
              <w:pStyle w:val="Compact"/>
              <w:jc w:val="left"/>
            </w:pPr>
            <w:r>
              <w:t xml:space="preserve">Tier</w:t>
            </w:r>
          </w:p>
        </w:tc>
        <w:tc>
          <w:tcPr/>
          <w:p>
            <w:pPr>
              <w:pStyle w:val="Compact"/>
              <w:jc w:val="left"/>
            </w:pPr>
            <w:r>
              <w:t xml:space="preserve">Commodity</w:t>
            </w:r>
          </w:p>
        </w:tc>
        <w:tc>
          <w:tcPr/>
          <w:p>
            <w:pPr>
              <w:pStyle w:val="Compact"/>
              <w:jc w:val="center"/>
            </w:pPr>
            <w:r>
              <w:t xml:space="preserve">Score</w:t>
            </w:r>
          </w:p>
        </w:tc>
        <w:tc>
          <w:tcPr/>
          <w:p>
            <w:pPr>
              <w:pStyle w:val="Compact"/>
              <w:jc w:val="center"/>
            </w:pPr>
            <m:oMath>
              <m:sSub>
                <m:e>
                  <m:r>
                    <m:t>W</m:t>
                  </m:r>
                </m:e>
                <m:sub>
                  <m:r>
                    <m:t>i</m:t>
                  </m:r>
                </m:sub>
              </m:sSub>
            </m:oMath>
            <w:r>
              <w:t xml:space="preserve"> </w:t>
            </w:r>
            <w:r>
              <w:t xml:space="preserve">(Weather)</w:t>
            </w:r>
          </w:p>
        </w:tc>
        <w:tc>
          <w:tcPr/>
          <w:p>
            <w:pPr>
              <w:pStyle w:val="Compact"/>
              <w:jc w:val="center"/>
            </w:pPr>
            <m:oMath>
              <m:sSub>
                <m:e>
                  <m:r>
                    <m:t>C</m:t>
                  </m:r>
                </m:e>
                <m:sub>
                  <m:r>
                    <m:t>i</m:t>
                  </m:r>
                </m:sub>
              </m:sSub>
            </m:oMath>
            <w:r>
              <w:t xml:space="preserve"> </w:t>
            </w:r>
            <w:r>
              <w:t xml:space="preserve">(Concentration)</w:t>
            </w:r>
          </w:p>
        </w:tc>
        <w:tc>
          <w:tcPr/>
          <w:p>
            <w:pPr>
              <w:pStyle w:val="Compact"/>
              <w:jc w:val="center"/>
            </w:pPr>
            <m:oMath>
              <m:sSub>
                <m:e>
                  <m:r>
                    <m:t>B</m:t>
                  </m:r>
                </m:e>
                <m:sub>
                  <m:r>
                    <m:t>i</m:t>
                  </m:r>
                </m:sub>
              </m:sSub>
            </m:oMath>
            <w:r>
              <w:t xml:space="preserve"> </w:t>
            </w:r>
            <w:r>
              <w:t xml:space="preserve">(Buffer)</w:t>
            </w:r>
          </w:p>
        </w:tc>
        <w:tc>
          <w:tcPr/>
          <w:p>
            <w:pPr>
              <w:pStyle w:val="Compact"/>
              <w:jc w:val="center"/>
            </w:pPr>
            <w:r>
              <w:t xml:space="preserve">Direction</w:t>
            </w:r>
          </w:p>
        </w:tc>
      </w:tr>
      <w:tr>
        <w:tc>
          <w:tcPr/>
          <w:p>
            <w:pPr>
              <w:pStyle w:val="Compact"/>
              <w:jc w:val="left"/>
            </w:pPr>
            <w:r>
              <w:t xml:space="preserve">High</w:t>
            </w:r>
          </w:p>
        </w:tc>
        <w:tc>
          <w:tcPr/>
          <w:p>
            <w:pPr>
              <w:pStyle w:val="Compact"/>
              <w:jc w:val="left"/>
            </w:pPr>
            <w:r>
              <w:t xml:space="preserve">Cocoa</w:t>
            </w:r>
          </w:p>
        </w:tc>
        <w:tc>
          <w:tcPr/>
          <w:p>
            <w:pPr>
              <w:pStyle w:val="Compact"/>
              <w:jc w:val="center"/>
            </w:pPr>
            <w:r>
              <w:t xml:space="preserve">5.72</w:t>
            </w:r>
          </w:p>
        </w:tc>
        <w:tc>
          <w:tcPr/>
          <w:p>
            <w:pPr>
              <w:pStyle w:val="Compact"/>
              <w:jc w:val="center"/>
            </w:pPr>
            <w:r>
              <w:t xml:space="preserve">0.20</w:t>
            </w:r>
          </w:p>
        </w:tc>
        <w:tc>
          <w:tcPr/>
          <w:p>
            <w:pPr>
              <w:pStyle w:val="Compact"/>
              <w:jc w:val="center"/>
            </w:pPr>
            <w:r>
              <w:t xml:space="preserve">0.70</w:t>
            </w:r>
          </w:p>
        </w:tc>
        <w:tc>
          <w:tcPr/>
          <w:p>
            <w:pPr>
              <w:pStyle w:val="Compact"/>
              <w:jc w:val="center"/>
            </w:pPr>
            <w:r>
              <w:t xml:space="preserve">0.265</w:t>
            </w:r>
          </w:p>
        </w:tc>
        <w:tc>
          <w:tcPr/>
          <w:p>
            <w:pPr>
              <w:pStyle w:val="Compact"/>
              <w:jc w:val="center"/>
            </w:pPr>
            <w:r>
              <w:t xml:space="preserve">Strongly positive</w:t>
            </w:r>
          </w:p>
        </w:tc>
      </w:tr>
      <w:tr>
        <w:tc>
          <w:tcPr/>
          <w:p>
            <w:pPr>
              <w:pStyle w:val="Compact"/>
              <w:jc w:val="left"/>
            </w:pPr>
            <w:r>
              <w:t xml:space="preserve">High</w:t>
            </w:r>
          </w:p>
        </w:tc>
        <w:tc>
          <w:tcPr/>
          <w:p>
            <w:pPr>
              <w:pStyle w:val="Compact"/>
              <w:jc w:val="left"/>
            </w:pPr>
            <w:r>
              <w:t xml:space="preserve">Palm Oil</w:t>
            </w:r>
          </w:p>
        </w:tc>
        <w:tc>
          <w:tcPr/>
          <w:p>
            <w:pPr>
              <w:pStyle w:val="Compact"/>
              <w:jc w:val="center"/>
            </w:pPr>
            <w:r>
              <w:t xml:space="preserve">5.42</w:t>
            </w:r>
          </w:p>
        </w:tc>
        <w:tc>
          <w:tcPr/>
          <w:p>
            <w:pPr>
              <w:pStyle w:val="Compact"/>
              <w:jc w:val="center"/>
            </w:pPr>
            <w:r>
              <w:t xml:space="preserve">0.13</w:t>
            </w:r>
          </w:p>
        </w:tc>
        <w:tc>
          <w:tcPr/>
          <w:p>
            <w:pPr>
              <w:pStyle w:val="Compact"/>
              <w:jc w:val="center"/>
            </w:pPr>
            <w:r>
              <w:t xml:space="preserve">0.83</w:t>
            </w:r>
          </w:p>
        </w:tc>
        <w:tc>
          <w:tcPr/>
          <w:p>
            <w:pPr>
              <w:pStyle w:val="Compact"/>
              <w:jc w:val="center"/>
            </w:pPr>
            <w:r>
              <w:t xml:space="preserve">0.120</w:t>
            </w:r>
          </w:p>
        </w:tc>
        <w:tc>
          <w:tcPr/>
          <w:p>
            <w:pPr>
              <w:pStyle w:val="Compact"/>
              <w:jc w:val="center"/>
            </w:pPr>
            <w:r>
              <w:t xml:space="preserve">Strongly positive</w:t>
            </w:r>
          </w:p>
        </w:tc>
      </w:tr>
      <w:tr>
        <w:tc>
          <w:tcPr/>
          <w:p>
            <w:pPr>
              <w:pStyle w:val="Compact"/>
              <w:jc w:val="left"/>
            </w:pPr>
            <w:r>
              <w:t xml:space="preserve">Medium-High</w:t>
            </w:r>
          </w:p>
        </w:tc>
        <w:tc>
          <w:tcPr/>
          <w:p>
            <w:pPr>
              <w:pStyle w:val="Compact"/>
              <w:jc w:val="left"/>
            </w:pPr>
            <w:r>
              <w:t xml:space="preserve">Robusta Coffee</w:t>
            </w:r>
          </w:p>
        </w:tc>
        <w:tc>
          <w:tcPr/>
          <w:p>
            <w:pPr>
              <w:pStyle w:val="Compact"/>
              <w:jc w:val="center"/>
            </w:pPr>
            <w:r>
              <w:t xml:space="preserve">2.26</w:t>
            </w:r>
          </w:p>
        </w:tc>
        <w:tc>
          <w:tcPr/>
          <w:p>
            <w:pPr>
              <w:pStyle w:val="Compact"/>
              <w:jc w:val="center"/>
            </w:pPr>
            <w:r>
              <w:t xml:space="preserve">0.20</w:t>
            </w:r>
          </w:p>
        </w:tc>
        <w:tc>
          <w:tcPr/>
          <w:p>
            <w:pPr>
              <w:pStyle w:val="Compact"/>
              <w:jc w:val="center"/>
            </w:pPr>
            <w:r>
              <w:t xml:space="preserve">0.40</w:t>
            </w:r>
          </w:p>
        </w:tc>
        <w:tc>
          <w:tcPr/>
          <w:p>
            <w:pPr>
              <w:pStyle w:val="Compact"/>
              <w:jc w:val="center"/>
            </w:pPr>
            <w:r>
              <w:t xml:space="preserve">0.159</w:t>
            </w:r>
          </w:p>
        </w:tc>
        <w:tc>
          <w:tcPr/>
          <w:p>
            <w:pPr>
              <w:pStyle w:val="Compact"/>
              <w:jc w:val="center"/>
            </w:pPr>
            <w:r>
              <w:t xml:space="preserve">Strongly positive</w:t>
            </w:r>
          </w:p>
        </w:tc>
      </w:tr>
      <w:tr>
        <w:tc>
          <w:tcPr/>
          <w:p>
            <w:pPr>
              <w:pStyle w:val="Compact"/>
              <w:jc w:val="left"/>
            </w:pPr>
            <w:r>
              <w:t xml:space="preserve">Medium-High</w:t>
            </w:r>
          </w:p>
        </w:tc>
        <w:tc>
          <w:tcPr/>
          <w:p>
            <w:pPr>
              <w:pStyle w:val="Compact"/>
              <w:jc w:val="left"/>
            </w:pPr>
            <w:r>
              <w:t xml:space="preserve">Copper</w:t>
            </w:r>
          </w:p>
        </w:tc>
        <w:tc>
          <w:tcPr/>
          <w:p>
            <w:pPr>
              <w:pStyle w:val="Compact"/>
              <w:jc w:val="center"/>
            </w:pPr>
            <w:r>
              <w:t xml:space="preserve">1.56</w:t>
            </w:r>
          </w:p>
        </w:tc>
        <w:tc>
          <w:tcPr/>
          <w:p>
            <w:pPr>
              <w:pStyle w:val="Compact"/>
              <w:jc w:val="center"/>
            </w:pPr>
            <w:r>
              <w:t xml:space="preserve">0.05*</w:t>
            </w:r>
          </w:p>
        </w:tc>
        <w:tc>
          <w:tcPr/>
          <w:p>
            <w:pPr>
              <w:pStyle w:val="Compact"/>
              <w:jc w:val="center"/>
            </w:pPr>
            <w:r>
              <w:t xml:space="preserve">0.40</w:t>
            </w:r>
          </w:p>
        </w:tc>
        <w:tc>
          <w:tcPr/>
          <w:p>
            <w:pPr>
              <w:pStyle w:val="Compact"/>
              <w:jc w:val="center"/>
            </w:pPr>
            <w:r>
              <w:t xml:space="preserve">0.150</w:t>
            </w:r>
          </w:p>
        </w:tc>
        <w:tc>
          <w:tcPr/>
          <w:p>
            <w:pPr>
              <w:pStyle w:val="Compact"/>
              <w:jc w:val="center"/>
            </w:pPr>
            <w:r>
              <w:t xml:space="preserve">Positive</w:t>
            </w:r>
          </w:p>
        </w:tc>
      </w:tr>
      <w:tr>
        <w:tc>
          <w:tcPr/>
          <w:p>
            <w:pPr>
              <w:pStyle w:val="Compact"/>
              <w:jc w:val="left"/>
            </w:pPr>
            <w:r>
              <w:t xml:space="preserve">Medium-High</w:t>
            </w:r>
          </w:p>
        </w:tc>
        <w:tc>
          <w:tcPr/>
          <w:p>
            <w:pPr>
              <w:pStyle w:val="Compact"/>
              <w:jc w:val="left"/>
            </w:pPr>
            <w:r>
              <w:t xml:space="preserve">Sugar</w:t>
            </w:r>
          </w:p>
        </w:tc>
        <w:tc>
          <w:tcPr/>
          <w:p>
            <w:pPr>
              <w:pStyle w:val="Compact"/>
              <w:jc w:val="center"/>
            </w:pPr>
            <w:r>
              <w:t xml:space="preserve">1.17</w:t>
            </w:r>
          </w:p>
        </w:tc>
        <w:tc>
          <w:tcPr/>
          <w:p>
            <w:pPr>
              <w:pStyle w:val="Compact"/>
              <w:jc w:val="center"/>
            </w:pPr>
            <w:r>
              <w:t xml:space="preserve">0.15</w:t>
            </w:r>
          </w:p>
        </w:tc>
        <w:tc>
          <w:tcPr/>
          <w:p>
            <w:pPr>
              <w:pStyle w:val="Compact"/>
              <w:jc w:val="center"/>
            </w:pPr>
            <w:r>
              <w:t xml:space="preserve">0.35</w:t>
            </w:r>
          </w:p>
        </w:tc>
        <w:tc>
          <w:tcPr/>
          <w:p>
            <w:pPr>
              <w:pStyle w:val="Compact"/>
              <w:jc w:val="center"/>
            </w:pPr>
            <w:r>
              <w:t xml:space="preserve">0.687</w:t>
            </w:r>
          </w:p>
        </w:tc>
        <w:tc>
          <w:tcPr/>
          <w:p>
            <w:pPr>
              <w:pStyle w:val="Compact"/>
              <w:jc w:val="center"/>
            </w:pPr>
            <w:r>
              <w:t xml:space="preserve">Threshold-positive</w:t>
            </w:r>
          </w:p>
        </w:tc>
      </w:tr>
      <w:tr>
        <w:tc>
          <w:tcPr/>
          <w:p>
            <w:pPr>
              <w:pStyle w:val="Compact"/>
              <w:jc w:val="left"/>
            </w:pPr>
            <w:r>
              <w:t xml:space="preserve">Medium-High</w:t>
            </w:r>
          </w:p>
        </w:tc>
        <w:tc>
          <w:tcPr/>
          <w:p>
            <w:pPr>
              <w:pStyle w:val="Compact"/>
              <w:jc w:val="left"/>
            </w:pPr>
            <w:r>
              <w:t xml:space="preserve">Cotton</w:t>
            </w:r>
          </w:p>
        </w:tc>
        <w:tc>
          <w:tcPr/>
          <w:p>
            <w:pPr>
              <w:pStyle w:val="Compact"/>
              <w:jc w:val="center"/>
            </w:pPr>
            <w:r>
              <w:t xml:space="preserve">0.87</w:t>
            </w:r>
          </w:p>
        </w:tc>
        <w:tc>
          <w:tcPr/>
          <w:p>
            <w:pPr>
              <w:pStyle w:val="Compact"/>
              <w:jc w:val="center"/>
            </w:pPr>
            <w:r>
              <w:t xml:space="preserve">0.12</w:t>
            </w:r>
          </w:p>
        </w:tc>
        <w:tc>
          <w:tcPr/>
          <w:p>
            <w:pPr>
              <w:pStyle w:val="Compact"/>
              <w:jc w:val="center"/>
            </w:pPr>
            <w:r>
              <w:t xml:space="preserve">0.30</w:t>
            </w:r>
          </w:p>
        </w:tc>
        <w:tc>
          <w:tcPr/>
          <w:p>
            <w:pPr>
              <w:pStyle w:val="Compact"/>
              <w:jc w:val="center"/>
            </w:pPr>
            <w:r>
              <w:t xml:space="preserve">0.450</w:t>
            </w:r>
          </w:p>
        </w:tc>
        <w:tc>
          <w:tcPr/>
          <w:p>
            <w:pPr>
              <w:pStyle w:val="Compact"/>
              <w:jc w:val="center"/>
            </w:pPr>
            <w:r>
              <w:t xml:space="preserve">Moderately positive</w:t>
            </w:r>
          </w:p>
        </w:tc>
      </w:tr>
      <w:tr>
        <w:tc>
          <w:tcPr/>
          <w:p>
            <w:pPr>
              <w:pStyle w:val="Compact"/>
              <w:jc w:val="left"/>
            </w:pPr>
            <w:r>
              <w:t xml:space="preserve">Medium-High</w:t>
            </w:r>
          </w:p>
        </w:tc>
        <w:tc>
          <w:tcPr/>
          <w:p>
            <w:pPr>
              <w:pStyle w:val="Compact"/>
              <w:jc w:val="left"/>
            </w:pPr>
            <w:r>
              <w:t xml:space="preserve">Arabica Coffee</w:t>
            </w:r>
          </w:p>
        </w:tc>
        <w:tc>
          <w:tcPr/>
          <w:p>
            <w:pPr>
              <w:pStyle w:val="Compact"/>
              <w:jc w:val="center"/>
            </w:pPr>
            <w:r>
              <w:t xml:space="preserve">0.66</w:t>
            </w:r>
          </w:p>
        </w:tc>
        <w:tc>
          <w:tcPr/>
          <w:p>
            <w:pPr>
              <w:pStyle w:val="Compact"/>
              <w:jc w:val="center"/>
            </w:pPr>
            <w:r>
              <w:t xml:space="preserve">−0.05</w:t>
            </w:r>
          </w:p>
        </w:tc>
        <w:tc>
          <w:tcPr/>
          <w:p>
            <w:pPr>
              <w:pStyle w:val="Compact"/>
              <w:jc w:val="center"/>
            </w:pPr>
            <w:r>
              <w:t xml:space="preserve">0.35</w:t>
            </w:r>
          </w:p>
        </w:tc>
        <w:tc>
          <w:tcPr/>
          <w:p>
            <w:pPr>
              <w:pStyle w:val="Compact"/>
              <w:jc w:val="center"/>
            </w:pPr>
            <w:r>
              <w:t xml:space="preserve">0.159</w:t>
            </w:r>
          </w:p>
        </w:tc>
        <w:tc>
          <w:tcPr/>
          <w:p>
            <w:pPr>
              <w:pStyle w:val="Compact"/>
              <w:jc w:val="center"/>
            </w:pPr>
            <w:r>
              <w:t xml:space="preserve">Mixed</w:t>
            </w:r>
          </w:p>
        </w:tc>
      </w:tr>
      <w:tr>
        <w:tc>
          <w:tcPr/>
          <w:p>
            <w:pPr>
              <w:pStyle w:val="Compact"/>
              <w:jc w:val="left"/>
            </w:pPr>
            <w:r>
              <w:t xml:space="preserve">Moderate</w:t>
            </w:r>
          </w:p>
        </w:tc>
        <w:tc>
          <w:tcPr/>
          <w:p>
            <w:pPr>
              <w:pStyle w:val="Compact"/>
              <w:jc w:val="left"/>
            </w:pPr>
            <w:r>
              <w:t xml:space="preserve">Soybeans</w:t>
            </w:r>
          </w:p>
        </w:tc>
        <w:tc>
          <w:tcPr/>
          <w:p>
            <w:pPr>
              <w:pStyle w:val="Compact"/>
              <w:jc w:val="center"/>
            </w:pPr>
            <w:r>
              <w:t xml:space="preserve">1.22</w:t>
            </w:r>
          </w:p>
        </w:tc>
        <w:tc>
          <w:tcPr/>
          <w:p>
            <w:pPr>
              <w:pStyle w:val="Compact"/>
              <w:jc w:val="center"/>
            </w:pPr>
            <w:r>
              <w:t xml:space="preserve">0.05</w:t>
            </w:r>
          </w:p>
        </w:tc>
        <w:tc>
          <w:tcPr/>
          <w:p>
            <w:pPr>
              <w:pStyle w:val="Compact"/>
              <w:jc w:val="center"/>
            </w:pPr>
            <w:r>
              <w:t xml:space="preserve">0.42</w:t>
            </w:r>
          </w:p>
        </w:tc>
        <w:tc>
          <w:tcPr/>
          <w:p>
            <w:pPr>
              <w:pStyle w:val="Compact"/>
              <w:jc w:val="center"/>
            </w:pPr>
            <w:r>
              <w:t xml:space="preserve">0.250</w:t>
            </w:r>
          </w:p>
        </w:tc>
        <w:tc>
          <w:tcPr/>
          <w:p>
            <w:pPr>
              <w:pStyle w:val="Compact"/>
              <w:jc w:val="center"/>
            </w:pPr>
            <w:r>
              <w:t xml:space="preserve">Mixed</w:t>
            </w:r>
          </w:p>
        </w:tc>
      </w:tr>
      <w:tr>
        <w:tc>
          <w:tcPr/>
          <w:p>
            <w:pPr>
              <w:pStyle w:val="Compact"/>
              <w:jc w:val="left"/>
            </w:pPr>
            <w:r>
              <w:t xml:space="preserve">Moderate</w:t>
            </w:r>
          </w:p>
        </w:tc>
        <w:tc>
          <w:tcPr/>
          <w:p>
            <w:pPr>
              <w:pStyle w:val="Compact"/>
              <w:jc w:val="left"/>
            </w:pPr>
            <w:r>
              <w:t xml:space="preserve">Rice</w:t>
            </w:r>
          </w:p>
        </w:tc>
        <w:tc>
          <w:tcPr/>
          <w:p>
            <w:pPr>
              <w:pStyle w:val="Compact"/>
              <w:jc w:val="center"/>
            </w:pPr>
            <w:r>
              <w:t xml:space="preserve">0.57</w:t>
            </w:r>
          </w:p>
        </w:tc>
        <w:tc>
          <w:tcPr/>
          <w:p>
            <w:pPr>
              <w:pStyle w:val="Compact"/>
              <w:jc w:val="center"/>
            </w:pPr>
            <w:r>
              <w:t xml:space="preserve">0.01</w:t>
            </w:r>
          </w:p>
        </w:tc>
        <w:tc>
          <w:tcPr/>
          <w:p>
            <w:pPr>
              <w:pStyle w:val="Compact"/>
              <w:jc w:val="center"/>
            </w:pPr>
            <w:r>
              <w:t xml:space="preserve">0.55</w:t>
            </w:r>
          </w:p>
        </w:tc>
        <w:tc>
          <w:tcPr/>
          <w:p>
            <w:pPr>
              <w:pStyle w:val="Compact"/>
              <w:jc w:val="center"/>
            </w:pPr>
            <w:r>
              <w:t xml:space="preserve">0.235</w:t>
            </w:r>
          </w:p>
        </w:tc>
        <w:tc>
          <w:tcPr/>
          <w:p>
            <w:pPr>
              <w:pStyle w:val="Compact"/>
              <w:jc w:val="center"/>
            </w:pPr>
            <w:r>
              <w:t xml:space="preserve">Policy-driven</w:t>
            </w:r>
          </w:p>
        </w:tc>
      </w:tr>
      <w:tr>
        <w:tc>
          <w:tcPr/>
          <w:p>
            <w:pPr>
              <w:pStyle w:val="Compact"/>
              <w:jc w:val="left"/>
            </w:pPr>
            <w:r>
              <w:t xml:space="preserve">Moderate</w:t>
            </w:r>
          </w:p>
        </w:tc>
        <w:tc>
          <w:tcPr/>
          <w:p>
            <w:pPr>
              <w:pStyle w:val="Compact"/>
              <w:jc w:val="left"/>
            </w:pPr>
            <w:r>
              <w:t xml:space="preserve">Wheat</w:t>
            </w:r>
          </w:p>
        </w:tc>
        <w:tc>
          <w:tcPr/>
          <w:p>
            <w:pPr>
              <w:pStyle w:val="Compact"/>
              <w:jc w:val="center"/>
            </w:pPr>
            <w:r>
              <w:t xml:space="preserve">0.56</w:t>
            </w:r>
          </w:p>
        </w:tc>
        <w:tc>
          <w:tcPr/>
          <w:p>
            <w:pPr>
              <w:pStyle w:val="Compact"/>
              <w:jc w:val="center"/>
            </w:pPr>
            <w:r>
              <w:t xml:space="preserve">0.10</w:t>
            </w:r>
          </w:p>
        </w:tc>
        <w:tc>
          <w:tcPr/>
          <w:p>
            <w:pPr>
              <w:pStyle w:val="Compact"/>
              <w:jc w:val="center"/>
            </w:pPr>
            <w:r>
              <w:t xml:space="preserve">0.20</w:t>
            </w:r>
          </w:p>
        </w:tc>
        <w:tc>
          <w:tcPr/>
          <w:p>
            <w:pPr>
              <w:pStyle w:val="Compact"/>
              <w:jc w:val="center"/>
            </w:pPr>
            <w:r>
              <w:t xml:space="preserve">0.300</w:t>
            </w:r>
          </w:p>
        </w:tc>
        <w:tc>
          <w:tcPr/>
          <w:p>
            <w:pPr>
              <w:pStyle w:val="Compact"/>
              <w:jc w:val="center"/>
            </w:pPr>
            <w:r>
              <w:t xml:space="preserve">Weak positive</w:t>
            </w:r>
          </w:p>
        </w:tc>
      </w:tr>
      <w:tr>
        <w:tc>
          <w:tcPr/>
          <w:p>
            <w:pPr>
              <w:pStyle w:val="Compact"/>
              <w:jc w:val="left"/>
            </w:pPr>
            <w:r>
              <w:t xml:space="preserve">Moderate</w:t>
            </w:r>
          </w:p>
        </w:tc>
        <w:tc>
          <w:tcPr/>
          <w:p>
            <w:pPr>
              <w:pStyle w:val="Compact"/>
              <w:jc w:val="left"/>
            </w:pPr>
            <w:r>
              <w:t xml:space="preserve">Corn</w:t>
            </w:r>
          </w:p>
        </w:tc>
        <w:tc>
          <w:tcPr/>
          <w:p>
            <w:pPr>
              <w:pStyle w:val="Compact"/>
              <w:jc w:val="center"/>
            </w:pPr>
            <w:r>
              <w:t xml:space="preserve">0.64</w:t>
            </w:r>
          </w:p>
        </w:tc>
        <w:tc>
          <w:tcPr/>
          <w:p>
            <w:pPr>
              <w:pStyle w:val="Compact"/>
              <w:jc w:val="center"/>
            </w:pPr>
            <w:r>
              <w:t xml:space="preserve">0.08</w:t>
            </w:r>
          </w:p>
        </w:tc>
        <w:tc>
          <w:tcPr/>
          <w:p>
            <w:pPr>
              <w:pStyle w:val="Compact"/>
              <w:jc w:val="center"/>
            </w:pPr>
            <w:r>
              <w:t xml:space="preserve">0.25</w:t>
            </w:r>
          </w:p>
        </w:tc>
        <w:tc>
          <w:tcPr/>
          <w:p>
            <w:pPr>
              <w:pStyle w:val="Compact"/>
              <w:jc w:val="center"/>
            </w:pPr>
            <w:r>
              <w:t xml:space="preserve">0.280</w:t>
            </w:r>
          </w:p>
        </w:tc>
        <w:tc>
          <w:tcPr/>
          <w:p>
            <w:pPr>
              <w:pStyle w:val="Compact"/>
              <w:jc w:val="center"/>
            </w:pPr>
            <w:r>
              <w:t xml:space="preserve">Timing-dependent</w:t>
            </w:r>
          </w:p>
        </w:tc>
      </w:tr>
      <w:tr>
        <w:tc>
          <w:tcPr/>
          <w:p>
            <w:pPr>
              <w:pStyle w:val="Compact"/>
              <w:jc w:val="left"/>
            </w:pPr>
            <w:r>
              <w:t xml:space="preserve">Negative</w:t>
            </w:r>
          </w:p>
        </w:tc>
        <w:tc>
          <w:tcPr/>
          <w:p>
            <w:pPr>
              <w:pStyle w:val="Compact"/>
              <w:jc w:val="left"/>
            </w:pPr>
            <w:r>
              <w:t xml:space="preserve">Natural Gas</w:t>
            </w:r>
          </w:p>
        </w:tc>
        <w:tc>
          <w:tcPr/>
          <w:p>
            <w:pPr>
              <w:pStyle w:val="Compact"/>
              <w:jc w:val="center"/>
            </w:pPr>
            <w:r>
              <w:t xml:space="preserve">−1.48</w:t>
            </w:r>
          </w:p>
        </w:tc>
        <w:tc>
          <w:tcPr/>
          <w:p>
            <w:pPr>
              <w:pStyle w:val="Compact"/>
              <w:jc w:val="center"/>
            </w:pPr>
            <w:r>
              <w:t xml:space="preserve">−0.15</w:t>
            </w:r>
          </w:p>
        </w:tc>
        <w:tc>
          <w:tcPr/>
          <w:p>
            <w:pPr>
              <w:pStyle w:val="Compact"/>
              <w:jc w:val="center"/>
            </w:pPr>
            <w:r>
              <w:t xml:space="preserve">0.80</w:t>
            </w:r>
          </w:p>
        </w:tc>
        <w:tc>
          <w:tcPr/>
          <w:p>
            <w:pPr>
              <w:pStyle w:val="Compact"/>
              <w:jc w:val="center"/>
            </w:pPr>
            <w:r>
              <w:t xml:space="preserve">N/A</w:t>
            </w:r>
          </w:p>
        </w:tc>
        <w:tc>
          <w:tcPr/>
          <w:p>
            <w:pPr>
              <w:pStyle w:val="Compact"/>
              <w:jc w:val="center"/>
            </w:pPr>
            <w:r>
              <w:t xml:space="preserve">Strongly negative</w:t>
            </w:r>
          </w:p>
        </w:tc>
      </w:tr>
      <w:tr>
        <w:tc>
          <w:tcPr/>
          <w:p>
            <w:pPr>
              <w:pStyle w:val="Compact"/>
              <w:jc w:val="left"/>
            </w:pPr>
            <w:r>
              <w:t xml:space="preserve">Low</w:t>
            </w:r>
          </w:p>
        </w:tc>
        <w:tc>
          <w:tcPr/>
          <w:p>
            <w:pPr>
              <w:pStyle w:val="Compact"/>
              <w:jc w:val="left"/>
            </w:pPr>
            <w:r>
              <w:t xml:space="preserve">Silver</w:t>
            </w:r>
          </w:p>
        </w:tc>
        <w:tc>
          <w:tcPr/>
          <w:p>
            <w:pPr>
              <w:pStyle w:val="Compact"/>
              <w:jc w:val="center"/>
            </w:pPr>
            <w:r>
              <w:t xml:space="preserve">0.12</w:t>
            </w:r>
          </w:p>
        </w:tc>
        <w:tc>
          <w:tcPr/>
          <w:p>
            <w:pPr>
              <w:pStyle w:val="Compact"/>
              <w:jc w:val="center"/>
            </w:pPr>
            <w:r>
              <w:t xml:space="preserve">0.02</w:t>
            </w:r>
          </w:p>
        </w:tc>
        <w:tc>
          <w:tcPr/>
          <w:p>
            <w:pPr>
              <w:pStyle w:val="Compact"/>
              <w:jc w:val="center"/>
            </w:pPr>
            <w:r>
              <w:t xml:space="preserve">0.15</w:t>
            </w:r>
          </w:p>
        </w:tc>
        <w:tc>
          <w:tcPr/>
          <w:p>
            <w:pPr>
              <w:pStyle w:val="Compact"/>
              <w:jc w:val="center"/>
            </w:pPr>
            <w:r>
              <w:t xml:space="preserve">0.500</w:t>
            </w:r>
          </w:p>
        </w:tc>
        <w:tc>
          <w:tcPr/>
          <w:p>
            <w:pPr>
              <w:pStyle w:val="Compact"/>
              <w:jc w:val="center"/>
            </w:pPr>
            <w:r>
              <w:t xml:space="preserve">Two-phase</w:t>
            </w:r>
          </w:p>
        </w:tc>
      </w:tr>
      <w:tr>
        <w:tc>
          <w:tcPr/>
          <w:p>
            <w:pPr>
              <w:pStyle w:val="Compact"/>
              <w:jc w:val="left"/>
            </w:pPr>
            <w:r>
              <w:t xml:space="preserve">Low</w:t>
            </w:r>
          </w:p>
        </w:tc>
        <w:tc>
          <w:tcPr/>
          <w:p>
            <w:pPr>
              <w:pStyle w:val="Compact"/>
              <w:jc w:val="left"/>
            </w:pPr>
            <w:r>
              <w:t xml:space="preserve">Gold</w:t>
            </w:r>
          </w:p>
        </w:tc>
        <w:tc>
          <w:tcPr/>
          <w:p>
            <w:pPr>
              <w:pStyle w:val="Compact"/>
              <w:jc w:val="center"/>
            </w:pPr>
            <w:r>
              <w:t xml:space="preserve">0.04</w:t>
            </w:r>
          </w:p>
        </w:tc>
        <w:tc>
          <w:tcPr/>
          <w:p>
            <w:pPr>
              <w:pStyle w:val="Compact"/>
              <w:jc w:val="center"/>
            </w:pPr>
            <w:r>
              <w:t xml:space="preserve">0.01</w:t>
            </w:r>
          </w:p>
        </w:tc>
        <w:tc>
          <w:tcPr/>
          <w:p>
            <w:pPr>
              <w:pStyle w:val="Compact"/>
              <w:jc w:val="center"/>
            </w:pPr>
            <w:r>
              <w:t xml:space="preserve">0.10</w:t>
            </w:r>
          </w:p>
        </w:tc>
        <w:tc>
          <w:tcPr/>
          <w:p>
            <w:pPr>
              <w:pStyle w:val="Compact"/>
              <w:jc w:val="center"/>
            </w:pPr>
            <w:r>
              <w:t xml:space="preserve">N/A</w:t>
            </w:r>
          </w:p>
        </w:tc>
        <w:tc>
          <w:tcPr/>
          <w:p>
            <w:pPr>
              <w:pStyle w:val="Compact"/>
              <w:jc w:val="center"/>
            </w:pPr>
            <w:r>
              <w:t xml:space="preserve">Inflation channel</w:t>
            </w:r>
          </w:p>
        </w:tc>
      </w:tr>
    </w:tbl>
    <w:p>
      <w:pPr>
        <w:pStyle w:val="BodyText"/>
      </w:pPr>
      <w:r>
        <w:t xml:space="preserve">*Copper’s weather coefficient reflects infrastructure disruption rather than yield impact.</w:t>
      </w:r>
    </w:p>
    <w:p>
      <w:pPr>
        <w:pStyle w:val="BodyText"/>
      </w:pPr>
      <w:r>
        <w:rPr>
          <w:bCs/>
          <w:b/>
        </w:rPr>
        <w:t xml:space="preserve">Analytical interpretation of Table 4.</w:t>
      </w:r>
      <w:r>
        <w:t xml:space="preserve"> </w:t>
      </w:r>
      <w:r>
        <w:t xml:space="preserve">The scoring matrix reveals a striking bifurcation: the top two commodities account for a disproportionate share of total model risk. This reflects the dominance of production concentration (</w:t>
      </w:r>
      <m:oMath>
        <m:sSub>
          <m:e>
            <m:r>
              <m:t>C</m:t>
            </m:r>
          </m:e>
          <m:sub>
            <m:r>
              <m:t>i</m:t>
            </m:r>
          </m:sub>
        </m:sSub>
      </m:oMath>
      <w:r>
        <w:t xml:space="preserve">) as a risk amplifier. Cocoa and palm oil share the critical feature that their primary production regions are both (a) directly exposed to El Niño teleconnections and (b) irreplaceable in the short run. No other major commodities exhibit this combination. The negative score for natural gas reflects demand destruction rather than supply disruption, making it a valuable portfolio diversifier. The medium-high tier commodities each carry one vulnerability channel that is partially offset by a compensating mechanism — robusta by potential Brazilian offset, sugar by ethanol diversion, copper by stockpiles and desalination investment, cotton by geographic diversification. The model’s concentration-weighting framework, visualized in</w:t>
      </w:r>
      <w:r>
        <w:t xml:space="preserve"> </w:t>
      </w:r>
      <w:r>
        <w:rPr>
          <w:rStyle w:val="VerbatimChar"/>
        </w:rPr>
        <w:t xml:space="preserve">/mnt/agents/output/chart4_risk_matrix.png</w:t>
      </w:r>
      <w:r>
        <w:t xml:space="preserve">, identifies which commodities are most exposed to future El Niño intensification — particularly those in the upper-right quadrant where both weather sensitivity and production concentration are elevated.</w:t>
      </w:r>
    </w:p>
    <w:p>
      <w:pPr>
        <w:pStyle w:val="BodyText"/>
      </w:pPr>
      <w:r>
        <w:t xml:space="preserve">The tiered analysis establishes the empirical foundation for the quantitative model framework developed in Chapter 4. The key takeaway is that El Niño commodity risk is not uniformly distributed but concentrated in structurally vulnerable markets where production geography, biological constraints, and thin buffers converge. For portfolio construction, targeted hedging of high-vulnerability positions — rather than broad commodity index exposure — offers the most efficient risk management approach. The vulnerability scores, historical price response tables, and concentration-sensitivity framework developed here provide the input parameters for the impulse response and portfolio simulation models that follow.</w:t>
      </w:r>
    </w:p>
    <w:p>
      <w:r>
        <w:pict>
          <v:rect style="width:0;height:1.5pt" o:hralign="center" o:hrstd="t" o:hr="t"/>
        </w:pict>
      </w:r>
    </w:p>
    <w:bookmarkEnd w:id="71"/>
    <w:bookmarkEnd w:id="72"/>
    <w:bookmarkEnd w:id="73"/>
    <w:bookmarkStart w:id="101" w:name="quantitative-model-framework"/>
    <w:p>
      <w:pPr>
        <w:pStyle w:val="Heading2"/>
      </w:pPr>
      <w:r>
        <w:t xml:space="preserve">4. Quantitative Model Framework</w:t>
      </w:r>
    </w:p>
    <w:p>
      <w:pPr>
        <w:pStyle w:val="FirstParagraph"/>
      </w:pPr>
      <w:r>
        <w:t xml:space="preserve">The preceding commodity-specific analyses established that El Niño impacts vary substantially across markets—vegetable oils show up to 30% of price variation attributable to ENSO shocks [^8^], while industrial metals exhibit more muted transmission. This chapter presents a five-layer hierarchical model architecture capturing the full transmission chain from Pacific sea-surface temperature anomalies to commodity portfolio returns. The framework integrates VAR specifications, local projections, and smooth transition autoregressive models into an operational pipeline producing composite vulnerability scores, impulse response functions, and risk-adjusted positioning signals.</w:t>
      </w:r>
    </w:p>
    <w:bookmarkStart w:id="85" w:name="five-layer-model-architecture"/>
    <w:p>
      <w:pPr>
        <w:pStyle w:val="Heading3"/>
      </w:pPr>
      <w:r>
        <w:t xml:space="preserve">4.1 Five-Layer Model Architecture</w:t>
      </w:r>
    </w:p>
    <w:p>
      <w:pPr>
        <w:pStyle w:val="FirstParagraph"/>
      </w:pPr>
      <w:r>
        <w:t xml:space="preserve">The model architecture (see Figure 7) comprises five sequential layers, each transforming the signal through a distinct economic mechanism. This follows the natural transmission pathway: climate teleconnection operates first, regional production effects propagate through concentrated supply chains, stockpile buffers determine price amplification, cross-market spillovers redistribute risk, and portfolio metrics aggregate outputs for decision-making [^97^][^578^].</w:t>
      </w:r>
    </w:p>
    <w:p>
      <w:pPr>
        <w:pStyle w:val="CaptionedFigure"/>
      </w:pPr>
      <w:r>
        <w:drawing>
          <wp:inline>
            <wp:extent cx="5334000" cy="3033399"/>
            <wp:effectExtent b="0" l="0" r="0" t="0"/>
            <wp:docPr descr="Five-layer model architecture diagram" title="" id="75" name="Picture"/>
            <a:graphic>
              <a:graphicData uri="http://schemas.openxmlformats.org/drawingml/2006/picture">
                <pic:pic>
                  <pic:nvPicPr>
                    <pic:cNvPr descr="/mnt/agents/output/chart7_model_architecture.png" id="76" name="Picture"/>
                    <pic:cNvPicPr>
                      <a:picLocks noChangeArrowheads="1" noChangeAspect="1"/>
                    </pic:cNvPicPr>
                  </pic:nvPicPr>
                  <pic:blipFill>
                    <a:blip r:embed="rId74"/>
                    <a:stretch>
                      <a:fillRect/>
                    </a:stretch>
                  </pic:blipFill>
                  <pic:spPr bwMode="auto">
                    <a:xfrm>
                      <a:off x="0" y="0"/>
                      <a:ext cx="5334000" cy="3033399"/>
                    </a:xfrm>
                    <a:prstGeom prst="rect">
                      <a:avLst/>
                    </a:prstGeom>
                    <a:noFill/>
                    <a:ln w="9525">
                      <a:noFill/>
                      <a:headEnd/>
                      <a:tailEnd/>
                    </a:ln>
                  </pic:spPr>
                </pic:pic>
              </a:graphicData>
            </a:graphic>
          </wp:inline>
        </w:drawing>
      </w:r>
    </w:p>
    <w:p>
      <w:pPr>
        <w:pStyle w:val="ImageCaption"/>
      </w:pPr>
      <w:r>
        <w:t xml:space="preserve">Five-layer model architecture diagram</w:t>
      </w:r>
    </w:p>
    <w:bookmarkStart w:id="77" w:name="X9b6700023ceaad226655c9bfb8053db0d00e8c4"/>
    <w:p>
      <w:pPr>
        <w:pStyle w:val="Heading4"/>
      </w:pPr>
      <w:r>
        <w:t xml:space="preserve">4.1.1 Layer 1 — ENSO Climate Index: ONI, MEI, and Niño 3.4 as Input Variables</w:t>
      </w:r>
    </w:p>
    <w:p>
      <w:pPr>
        <w:pStyle w:val="FirstParagraph"/>
      </w:pPr>
      <w:r>
        <w:t xml:space="preserve">The first layer ingests official ENSO indicators into standardized shock measures. Three primary indices serve as inputs: the Oceanic Niño Index (ONI), the Multivariate ENSO Index (MEI), and the Niño 3.4 sea-surface temperature anomaly. ONI is defined as the three-month running mean of SST anomalies in the Niño 3.4 region, with El Niño declared when ONI exceeds +0.5°C for five consecutive periods [^97^]. MEI incorporates additional atmospheric variables capturing coupled ocean-atmosphere dynamics [^109^].</w:t>
      </w:r>
    </w:p>
    <w:p>
      <w:pPr>
        <w:pStyle w:val="BodyText"/>
      </w:pPr>
      <w:r>
        <w:t xml:space="preserve">Brunner (2002) established the foundational VAR specification treating ENSO as weakly exogenous to macroeconomic conditions, a modeling choice validated by the physical reality that ocean-atmosphere dynamics evolve independently of commodity market outcomes [^97^]. The model normalizes all three indices to z-scores with respect to their 1982–2023 climatological distributions, producing a composite ENSO shock measure</w:t>
      </w:r>
      <w:r>
        <w:t xml:space="preserve"> </w:t>
      </w:r>
      <m:oMath>
        <m:sSub>
          <m:e>
            <m:r>
              <m:t>S</m:t>
            </m:r>
          </m:e>
          <m:sub>
            <m:r>
              <m:t>t</m:t>
            </m:r>
          </m:sub>
        </m:sSub>
      </m:oMath>
      <w:r>
        <w:t xml:space="preserve"> </w:t>
      </w:r>
      <w:r>
        <w:t xml:space="preserve">as the principal component of the three normalized indices. During the 2015–16 strong El Niño event, this composite measure reached</w:t>
      </w:r>
      <w:r>
        <w:t xml:space="preserve"> </w:t>
      </w:r>
      <m:oMath>
        <m:sSub>
          <m:e>
            <m:r>
              <m:t>S</m:t>
            </m:r>
          </m:e>
          <m:sub>
            <m:r>
              <m:t>t</m:t>
            </m:r>
          </m:sub>
        </m:sSub>
        <m:r>
          <m:rPr>
            <m:sty m:val="p"/>
          </m:rPr>
          <m:t>=</m:t>
        </m:r>
        <m:r>
          <m:rPr>
            <m:sty m:val="p"/>
          </m:rPr>
          <m:t>+</m:t>
        </m:r>
        <m:r>
          <m:t>2.4</m:t>
        </m:r>
      </m:oMath>
      <w:r>
        <w:t xml:space="preserve">, while the 2023–24 event peaked at approximately</w:t>
      </w:r>
      <w:r>
        <w:t xml:space="preserve"> </w:t>
      </w:r>
      <m:oMath>
        <m:sSub>
          <m:e>
            <m:r>
              <m:t>S</m:t>
            </m:r>
          </m:e>
          <m:sub>
            <m:r>
              <m:t>t</m:t>
            </m:r>
          </m:sub>
        </m:sSub>
        <m:r>
          <m:rPr>
            <m:sty m:val="p"/>
          </m:rPr>
          <m:t>=</m:t>
        </m:r>
        <m:r>
          <m:rPr>
            <m:sty m:val="p"/>
          </m:rPr>
          <m:t>+</m:t>
        </m:r>
        <m:r>
          <m:t>2.0</m:t>
        </m:r>
      </m:oMath>
      <w:r>
        <w:t xml:space="preserve"> </w:t>
      </w:r>
      <w:r>
        <w:t xml:space="preserve">[^97^].</w:t>
      </w:r>
    </w:p>
    <w:p>
      <w:pPr>
        <w:pStyle w:val="BodyText"/>
      </w:pPr>
      <w:r>
        <w:t xml:space="preserve">The predictive horizon of Layer 1 depends critically on ENSO forecast skill. Dynamical models from NOAA and ECMWF provide skilful forecasts out to approximately six months, while Ham et al. (2019) demonstrated that convolutional neural networks with transfer learning extend skill to 17-month lead times [^616^]. The 2026 Cambridge study combined GCM ENSO forecasts with autoregressive commodity models, demonstrating predictive power beyond one year for coconut oil—longer than raw ENSO forecastability itself, attributable to the lagged relationship between climate anomalies and commodity supply responses [^1^].</w:t>
      </w:r>
    </w:p>
    <w:bookmarkEnd w:id="77"/>
    <w:bookmarkStart w:id="78" w:name="Xd24466a938e58fa51e38e1faa61630b7d559322"/>
    <w:p>
      <w:pPr>
        <w:pStyle w:val="Heading4"/>
      </w:pPr>
      <w:r>
        <w:t xml:space="preserve">4.1.2 Layer 2 — Regional Production Impact: Concentration-Weighted Sensitivity and Logistics Multiplier</w:t>
      </w:r>
    </w:p>
    <w:p>
      <w:pPr>
        <w:pStyle w:val="FirstParagraph"/>
      </w:pPr>
      <w:r>
        <w:t xml:space="preserve">Layer 2 translates the standardized ENSO shock into production impacts through two mechanisms: concentration-weighted regional sensitivity and a logistics multiplier. The concentration-weighting approach addresses the core finding that commodities with production concentrated in El Niño-exposed regions exhibit disproportionately larger price responses.</w:t>
      </w:r>
    </w:p>
    <w:p>
      <w:pPr>
        <w:pStyle w:val="BodyText"/>
      </w:pPr>
      <w:r>
        <w:t xml:space="preserve">The concentration-weighted sensitivity index for commodity</w:t>
      </w:r>
      <w:r>
        <w:t xml:space="preserve"> </w:t>
      </w:r>
      <m:oMath>
        <m:r>
          <m:t>i</m:t>
        </m:r>
      </m:oMath>
      <w:r>
        <w:t xml:space="preserve"> </w:t>
      </w:r>
      <w:r>
        <w:t xml:space="preserve">is computed as:</w:t>
      </w:r>
    </w:p>
    <w:p>
      <w:pPr>
        <w:pStyle w:val="BodyText"/>
      </w:pPr>
      <m:oMathPara>
        <m:oMathParaPr>
          <m:jc m:val="center"/>
        </m:oMathParaPr>
        <m:oMath>
          <m:sSub>
            <m:e>
              <m:r>
                <m:rPr>
                  <m:nor/>
                  <m:sty m:val="p"/>
                </m:rPr>
                <m:t>CS</m:t>
              </m:r>
            </m:e>
            <m:sub>
              <m:r>
                <m:t>i</m:t>
              </m:r>
            </m:sub>
          </m:sSub>
          <m:r>
            <m:rPr>
              <m:sty m:val="p"/>
            </m:rPr>
            <m:t>=</m:t>
          </m:r>
          <m:nary>
            <m:naryPr>
              <m:chr m:val="∑"/>
              <m:limLoc m:val="undOvr"/>
              <m:subHide m:val="0"/>
              <m:supHide m:val="1"/>
            </m:naryPr>
            <m:sub>
              <m:r>
                <m:t>r</m:t>
              </m:r>
            </m:sub>
            <m:sup>
              <m:r>
                <m:t>​</m:t>
              </m:r>
            </m:sup>
            <m:e>
              <m:sSub>
                <m:e>
                  <m:r>
                    <m:t>w</m:t>
                  </m:r>
                </m:e>
                <m:sub>
                  <m:r>
                    <m:t>i</m:t>
                  </m:r>
                  <m:r>
                    <m:t>r</m:t>
                  </m:r>
                </m:sub>
              </m:sSub>
            </m:e>
          </m:nary>
          <m:r>
            <m:rPr>
              <m:sty m:val="p"/>
            </m:rPr>
            <m:t>⋅</m:t>
          </m:r>
          <m:sSub>
            <m:e>
              <m:r>
                <m:t>β</m:t>
              </m:r>
            </m:e>
            <m:sub>
              <m:r>
                <m:t>i</m:t>
              </m:r>
              <m:r>
                <m:t>r</m:t>
              </m:r>
            </m:sub>
          </m:sSub>
          <m:r>
            <m:rPr>
              <m:sty m:val="p"/>
            </m:rPr>
            <m:t>⋅</m:t>
          </m:r>
          <m:sSub>
            <m:e>
              <m:r>
                <m:t>S</m:t>
              </m:r>
            </m:e>
            <m:sub>
              <m:r>
                <m:t>t</m:t>
              </m:r>
            </m:sub>
          </m:sSub>
        </m:oMath>
      </m:oMathPara>
    </w:p>
    <w:p>
      <w:pPr>
        <w:pStyle w:val="FirstParagraph"/>
      </w:pPr>
      <w:r>
        <w:t xml:space="preserve">where</w:t>
      </w:r>
      <w:r>
        <w:t xml:space="preserve"> </w:t>
      </w:r>
      <m:oMath>
        <m:sSub>
          <m:e>
            <m:r>
              <m:t>w</m:t>
            </m:r>
          </m:e>
          <m:sub>
            <m:r>
              <m:t>i</m:t>
            </m:r>
            <m:r>
              <m:t>r</m:t>
            </m:r>
          </m:sub>
        </m:sSub>
      </m:oMath>
      <w:r>
        <w:t xml:space="preserve"> </w:t>
      </w:r>
      <w:r>
        <w:t xml:space="preserve">denotes the share of global production originating from region</w:t>
      </w:r>
      <w:r>
        <w:t xml:space="preserve"> </w:t>
      </w:r>
      <m:oMath>
        <m:r>
          <m:t>r</m:t>
        </m:r>
      </m:oMath>
      <w:r>
        <w:t xml:space="preserve"> </w:t>
      </w:r>
      <w:r>
        <w:t xml:space="preserve">(with</w:t>
      </w:r>
      <w:r>
        <w:t xml:space="preserve"> </w:t>
      </w:r>
      <m:oMath>
        <m:nary>
          <m:naryPr>
            <m:chr m:val="∑"/>
            <m:limLoc m:val="undOvr"/>
            <m:subHide m:val="0"/>
            <m:supHide m:val="1"/>
          </m:naryPr>
          <m:sub>
            <m:r>
              <m:t>r</m:t>
            </m:r>
          </m:sub>
          <m:sup>
            <m:r>
              <m:t>​</m:t>
            </m:r>
          </m:sup>
          <m:e>
            <m:sSub>
              <m:e>
                <m:r>
                  <m:t>w</m:t>
                </m:r>
              </m:e>
              <m:sub>
                <m:r>
                  <m:t>i</m:t>
                </m:r>
                <m:r>
                  <m:t>r</m:t>
                </m:r>
              </m:sub>
            </m:sSub>
          </m:e>
        </m:nary>
        <m:r>
          <m:rPr>
            <m:sty m:val="p"/>
          </m:rPr>
          <m:t>=</m:t>
        </m:r>
        <m:r>
          <m:t>1</m:t>
        </m:r>
      </m:oMath>
      <w:r>
        <w:t xml:space="preserve">), and</w:t>
      </w:r>
      <w:r>
        <w:t xml:space="preserve"> </w:t>
      </w:r>
      <m:oMath>
        <m:sSub>
          <m:e>
            <m:r>
              <m:t>β</m:t>
            </m:r>
          </m:e>
          <m:sub>
            <m:r>
              <m:t>i</m:t>
            </m:r>
            <m:r>
              <m:t>r</m:t>
            </m:r>
          </m:sub>
        </m:sSub>
      </m:oMath>
      <w:r>
        <w:t xml:space="preserve"> </w:t>
      </w:r>
      <w:r>
        <w:t xml:space="preserve">represents the estimated yield sensitivity of commodity</w:t>
      </w:r>
      <w:r>
        <w:t xml:space="preserve"> </w:t>
      </w:r>
      <m:oMath>
        <m:r>
          <m:t>i</m:t>
        </m:r>
      </m:oMath>
      <w:r>
        <w:t xml:space="preserve"> </w:t>
      </w:r>
      <w:r>
        <w:t xml:space="preserve">in region</w:t>
      </w:r>
      <w:r>
        <w:t xml:space="preserve"> </w:t>
      </w:r>
      <m:oMath>
        <m:r>
          <m:t>r</m:t>
        </m:r>
      </m:oMath>
      <w:r>
        <w:t xml:space="preserve"> </w:t>
      </w:r>
      <w:r>
        <w:t xml:space="preserve">to a one-standard-deviation ENSO shock. For cocoa, where West Africa accounts for approximately 70% of global production,</w:t>
      </w:r>
      <w:r>
        <w:t xml:space="preserve"> </w:t>
      </w:r>
      <m:oMath>
        <m:sSub>
          <m:e>
            <m:r>
              <m:t>w</m:t>
            </m:r>
          </m:e>
          <m:sub>
            <m:r>
              <m:rPr>
                <m:nor/>
                <m:sty m:val="p"/>
              </m:rPr>
              <m:t>WA</m:t>
            </m:r>
          </m:sub>
        </m:sSub>
        <m:r>
          <m:rPr>
            <m:sty m:val="p"/>
          </m:rPr>
          <m:t>=</m:t>
        </m:r>
        <m:r>
          <m:t>0.70</m:t>
        </m:r>
      </m:oMath>
      <w:r>
        <w:t xml:space="preserve"> </w:t>
      </w:r>
      <w:r>
        <w:t xml:space="preserve">and yield sensitivity estimates from historical data place</w:t>
      </w:r>
      <w:r>
        <w:t xml:space="preserve"> </w:t>
      </w:r>
      <m:oMath>
        <m:sSub>
          <m:e>
            <m:r>
              <m:t>β</m:t>
            </m:r>
          </m:e>
          <m:sub>
            <m:r>
              <m:rPr>
                <m:nor/>
                <m:sty m:val="p"/>
              </m:rPr>
              <m:t>cocoa,WA</m:t>
            </m:r>
          </m:sub>
        </m:sSub>
      </m:oMath>
      <w:r>
        <w:t xml:space="preserve"> </w:t>
      </w:r>
      <w:r>
        <w:t xml:space="preserve">at approximately</w:t>
      </w:r>
      <w:r>
        <w:t xml:space="preserve"> </w:t>
      </w:r>
      <m:oMath>
        <m:r>
          <m:rPr>
            <m:sty m:val="p"/>
          </m:rPr>
          <m:t>−</m:t>
        </m:r>
        <m:r>
          <m:t>8</m:t>
        </m:r>
        <m:r>
          <m:rPr>
            <m:sty m:val="p"/>
          </m:rPr>
          <m:t>%</m:t>
        </m:r>
      </m:oMath>
      <w:r>
        <w:t xml:space="preserve"> </w:t>
      </w:r>
      <w:r>
        <w:t xml:space="preserve">per standard deviation ENSO shock [^8^]. For copper, where Chile and Peru collectively account for roughly 40% of global output, the comparable concentration-weighted sensitivity is substantially lower despite comparable regional yield impacts, precisely because the remaining 60% of production sits outside the primary El Niño teleconnection pathway.</w:t>
      </w:r>
    </w:p>
    <w:p>
      <w:pPr>
        <w:pStyle w:val="BodyText"/>
      </w:pPr>
      <w:r>
        <w:t xml:space="preserve">The logistics multiplier</w:t>
      </w:r>
      <w:r>
        <w:t xml:space="preserve"> </w:t>
      </w:r>
      <m:oMath>
        <m:sSub>
          <m:e>
            <m:r>
              <m:t>L</m:t>
            </m:r>
          </m:e>
          <m:sub>
            <m:r>
              <m:t>i</m:t>
            </m:r>
          </m:sub>
        </m:sSub>
      </m:oMath>
      <w:r>
        <w:t xml:space="preserve"> </w:t>
      </w:r>
      <w:r>
        <w:t xml:space="preserve">captures transport disruption amplification. During the 2023–24 El Niño, reduced Panama Canal water levels forced LNG carriers to reroute via the Cape of Good Hope, while Peru’s Central Andino railway washout trapped zinc-lead-copper concentrates [^625^]. The multiplier takes the form</w:t>
      </w:r>
      <w:r>
        <w:t xml:space="preserve"> </w:t>
      </w:r>
      <m:oMath>
        <m:sSub>
          <m:e>
            <m:r>
              <m:t>L</m:t>
            </m:r>
          </m:e>
          <m:sub>
            <m:r>
              <m:t>i</m:t>
            </m:r>
          </m:sub>
        </m:sSub>
        <m:r>
          <m:rPr>
            <m:sty m:val="p"/>
          </m:rPr>
          <m:t>=</m:t>
        </m:r>
        <m:r>
          <m:t>1</m:t>
        </m:r>
        <m:r>
          <m:rPr>
            <m:sty m:val="p"/>
          </m:rPr>
          <m:t>+</m:t>
        </m:r>
        <m:sSub>
          <m:e>
            <m:r>
              <m:t>λ</m:t>
            </m:r>
          </m:e>
          <m:sub>
            <m:r>
              <m:t>i</m:t>
            </m:r>
          </m:sub>
        </m:sSub>
        <m:r>
          <m:rPr>
            <m:sty m:val="p"/>
          </m:rPr>
          <m:t>⋅</m:t>
        </m:r>
        <m:sSub>
          <m:e>
            <m:r>
              <m:t>D</m:t>
            </m:r>
          </m:e>
          <m:sub>
            <m:r>
              <m:t>t</m:t>
            </m:r>
          </m:sub>
        </m:sSub>
      </m:oMath>
      <w:r>
        <w:t xml:space="preserve">, where</w:t>
      </w:r>
      <w:r>
        <w:t xml:space="preserve"> </w:t>
      </w:r>
      <m:oMath>
        <m:sSub>
          <m:e>
            <m:r>
              <m:t>D</m:t>
            </m:r>
          </m:e>
          <m:sub>
            <m:r>
              <m:t>t</m:t>
            </m:r>
          </m:sub>
        </m:sSub>
      </m:oMath>
      <w:r>
        <w:t xml:space="preserve"> </w:t>
      </w:r>
      <w:r>
        <w:t xml:space="preserve">measures transport disruption intensity and</w:t>
      </w:r>
      <w:r>
        <w:t xml:space="preserve"> </w:t>
      </w:r>
      <m:oMath>
        <m:sSub>
          <m:e>
            <m:r>
              <m:t>λ</m:t>
            </m:r>
          </m:e>
          <m:sub>
            <m:r>
              <m:t>i</m:t>
            </m:r>
          </m:sub>
        </m:sSub>
      </m:oMath>
      <w:r>
        <w:t xml:space="preserve"> </w:t>
      </w:r>
      <w:r>
        <w:t xml:space="preserve">is commodity-specific disruption elasticity. Commodities with concentrated export routes—Chilean copper, Brazilian soybeans, and LNG through the Panama Canal—carry the highest</w:t>
      </w:r>
      <w:r>
        <w:t xml:space="preserve"> </w:t>
      </w:r>
      <m:oMath>
        <m:sSub>
          <m:e>
            <m:r>
              <m:t>λ</m:t>
            </m:r>
          </m:e>
          <m:sub>
            <m:r>
              <m:t>i</m:t>
            </m:r>
          </m:sub>
        </m:sSub>
      </m:oMath>
      <w:r>
        <w:t xml:space="preserve"> </w:t>
      </w:r>
      <w:r>
        <w:t xml:space="preserve">values.</w:t>
      </w:r>
    </w:p>
    <w:bookmarkEnd w:id="78"/>
    <w:bookmarkStart w:id="79" w:name="X2cc9d4ee5125efdcd2fc71636270025a91f83dd"/>
    <w:p>
      <w:pPr>
        <w:pStyle w:val="Heading4"/>
      </w:pPr>
      <w:r>
        <w:t xml:space="preserve">4.1.3 Layer 3 — Supply-Price Translation: Threshold Stockpile Buffer Functions and Demand Elasticity</w:t>
      </w:r>
    </w:p>
    <w:p>
      <w:pPr>
        <w:pStyle w:val="FirstParagraph"/>
      </w:pPr>
      <w:r>
        <w:t xml:space="preserve">Layer 3 converts production shocks into price changes through nonlinear buffer mechanisms. The central innovation is a threshold stockpile buffer function that captures the empirical regularity that stockpiles absorb moderate supply shocks but fail catastrophically when depleted below critical thresholds. The function takes a piecewise form:</w:t>
      </w:r>
    </w:p>
    <w:p>
      <w:pPr>
        <w:pStyle w:val="BodyText"/>
      </w:pPr>
      <m:oMathPara>
        <m:oMathParaPr>
          <m:jc m:val="center"/>
        </m:oMathParaPr>
        <m:oMath>
          <m:r>
            <m:t>Δ</m:t>
          </m:r>
          <m:sSub>
            <m:e>
              <m:r>
                <m:t>P</m:t>
              </m:r>
            </m:e>
            <m:sub>
              <m:r>
                <m:t>i</m:t>
              </m:r>
              <m:r>
                <m:t>t</m:t>
              </m:r>
            </m:sub>
          </m:sSub>
          <m:r>
            <m:rPr>
              <m:sty m:val="p"/>
            </m:rPr>
            <m:t>=</m:t>
          </m:r>
          <m:d>
            <m:dPr>
              <m:begChr m:val="{"/>
              <m:endChr m:val=""/>
              <m:sepChr m:val=""/>
              <m:grow/>
            </m:dPr>
            <m:e>
              <m:m>
                <m:mPr>
                  <m:baseJc m:val="center"/>
                  <m:plcHide m:val="1"/>
                  <m:mcs>
                    <m:mc>
                      <m:mcPr>
                        <m:mcJc m:val="left"/>
                        <m:count m:val="1"/>
                      </m:mcPr>
                    </m:mc>
                    <m:mc>
                      <m:mcPr>
                        <m:mcJc m:val="left"/>
                        <m:count m:val="1"/>
                      </m:mcPr>
                    </m:mc>
                  </m:mcs>
                </m:mPr>
                <m:mr>
                  <m:e>
                    <m:f>
                      <m:fPr>
                        <m:type m:val="bar"/>
                      </m:fPr>
                      <m:num>
                        <m:sSub>
                          <m:e>
                            <m:r>
                              <m:rPr>
                                <m:nor/>
                                <m:sty m:val="p"/>
                              </m:rPr>
                              <m:t>CS</m:t>
                            </m:r>
                          </m:e>
                          <m:sub>
                            <m:r>
                              <m:t>i</m:t>
                            </m:r>
                          </m:sub>
                        </m:sSub>
                        <m:r>
                          <m:rPr>
                            <m:sty m:val="p"/>
                          </m:rPr>
                          <m:t>⋅</m:t>
                        </m:r>
                        <m:sSub>
                          <m:e>
                            <m:r>
                              <m:t>L</m:t>
                            </m:r>
                          </m:e>
                          <m:sub>
                            <m:r>
                              <m:t>i</m:t>
                            </m:r>
                          </m:sub>
                        </m:sSub>
                      </m:num>
                      <m:den>
                        <m:sSub>
                          <m:e>
                            <m:r>
                              <m:t>γ</m:t>
                            </m:r>
                          </m:e>
                          <m:sub>
                            <m:r>
                              <m:t>i</m:t>
                            </m:r>
                          </m:sub>
                        </m:sSub>
                        <m:rad>
                          <m:radPr>
                            <m:degHide m:val="1"/>
                          </m:radPr>
                          <m:deg/>
                          <m:e>
                            <m:sSub>
                              <m:e>
                                <m:r>
                                  <m:t>M</m:t>
                                </m:r>
                              </m:e>
                              <m:sub>
                                <m:r>
                                  <m:t>i</m:t>
                                </m:r>
                                <m:r>
                                  <m:t>t</m:t>
                                </m:r>
                              </m:sub>
                            </m:sSub>
                          </m:e>
                        </m:rad>
                      </m:den>
                    </m:f>
                  </m:e>
                  <m:e>
                    <m:r>
                      <m:rPr>
                        <m:nor/>
                        <m:sty m:val="p"/>
                      </m:rPr>
                      <m:t>if </m:t>
                    </m:r>
                    <m:sSub>
                      <m:e>
                        <m:r>
                          <m:t>M</m:t>
                        </m:r>
                      </m:e>
                      <m:sub>
                        <m:r>
                          <m:t>i</m:t>
                        </m:r>
                        <m:r>
                          <m:t>t</m:t>
                        </m:r>
                      </m:sub>
                    </m:sSub>
                    <m:r>
                      <m:rPr>
                        <m:sty m:val="p"/>
                      </m:rPr>
                      <m:t>≥</m:t>
                    </m:r>
                    <m:sSubSup>
                      <m:e>
                        <m:r>
                          <m:t>M</m:t>
                        </m:r>
                      </m:e>
                      <m:sub>
                        <m:r>
                          <m:t>i</m:t>
                        </m:r>
                      </m:sub>
                      <m:sup>
                        <m:r>
                          <m:rPr>
                            <m:nor/>
                            <m:sty m:val="p"/>
                          </m:rPr>
                          <m:t>crit</m:t>
                        </m:r>
                      </m:sup>
                    </m:sSubSup>
                  </m:e>
                </m:mr>
                <m:mr>
                  <m:e>
                    <m:f>
                      <m:fPr>
                        <m:type m:val="bar"/>
                      </m:fPr>
                      <m:num>
                        <m:sSub>
                          <m:e>
                            <m:r>
                              <m:rPr>
                                <m:nor/>
                                <m:sty m:val="p"/>
                              </m:rPr>
                              <m:t>CS</m:t>
                            </m:r>
                          </m:e>
                          <m:sub>
                            <m:r>
                              <m:t>i</m:t>
                            </m:r>
                          </m:sub>
                        </m:sSub>
                        <m:r>
                          <m:rPr>
                            <m:sty m:val="p"/>
                          </m:rPr>
                          <m:t>⋅</m:t>
                        </m:r>
                        <m:sSub>
                          <m:e>
                            <m:r>
                              <m:t>L</m:t>
                            </m:r>
                          </m:e>
                          <m:sub>
                            <m:r>
                              <m:t>i</m:t>
                            </m:r>
                          </m:sub>
                        </m:sSub>
                      </m:num>
                      <m:den>
                        <m:sSub>
                          <m:e>
                            <m:r>
                              <m:t>γ</m:t>
                            </m:r>
                          </m:e>
                          <m:sub>
                            <m:r>
                              <m:t>i</m:t>
                            </m:r>
                          </m:sub>
                        </m:sSub>
                        <m:rad>
                          <m:radPr>
                            <m:degHide m:val="1"/>
                          </m:radPr>
                          <m:deg/>
                          <m:e>
                            <m:sSubSup>
                              <m:e>
                                <m:r>
                                  <m:t>M</m:t>
                                </m:r>
                              </m:e>
                              <m:sub>
                                <m:r>
                                  <m:t>i</m:t>
                                </m:r>
                              </m:sub>
                              <m:sup>
                                <m:r>
                                  <m:rPr>
                                    <m:nor/>
                                    <m:sty m:val="p"/>
                                  </m:rPr>
                                  <m:t>crit</m:t>
                                </m:r>
                              </m:sup>
                            </m:sSubSup>
                          </m:e>
                        </m:rad>
                      </m:den>
                    </m:f>
                    <m:r>
                      <m:rPr>
                        <m:sty m:val="p"/>
                      </m:rPr>
                      <m:t>⋅</m:t>
                    </m:r>
                    <m:d>
                      <m:dPr>
                        <m:begChr m:val="("/>
                        <m:endChr m:val=")"/>
                        <m:sepChr m:val=""/>
                        <m:grow/>
                      </m:dPr>
                      <m:e>
                        <m:r>
                          <m:t>1</m:t>
                        </m:r>
                        <m:r>
                          <m:rPr>
                            <m:sty m:val="p"/>
                          </m:rPr>
                          <m:t>+</m:t>
                        </m:r>
                        <m:sSub>
                          <m:e>
                            <m:r>
                              <m:t>δ</m:t>
                            </m:r>
                          </m:e>
                          <m:sub>
                            <m:r>
                              <m:t>i</m:t>
                            </m:r>
                          </m:sub>
                        </m:sSub>
                        <m:r>
                          <m:rPr>
                            <m:sty m:val="p"/>
                          </m:rPr>
                          <m:t>⋅</m:t>
                        </m:r>
                        <m:f>
                          <m:fPr>
                            <m:type m:val="bar"/>
                          </m:fPr>
                          <m:num>
                            <m:sSubSup>
                              <m:e>
                                <m:r>
                                  <m:t>M</m:t>
                                </m:r>
                              </m:e>
                              <m:sub>
                                <m:r>
                                  <m:t>i</m:t>
                                </m:r>
                              </m:sub>
                              <m:sup>
                                <m:r>
                                  <m:rPr>
                                    <m:nor/>
                                    <m:sty m:val="p"/>
                                  </m:rPr>
                                  <m:t>crit</m:t>
                                </m:r>
                              </m:sup>
                            </m:sSubSup>
                            <m:r>
                              <m:rPr>
                                <m:sty m:val="p"/>
                              </m:rPr>
                              <m:t>−</m:t>
                            </m:r>
                            <m:sSub>
                              <m:e>
                                <m:r>
                                  <m:t>M</m:t>
                                </m:r>
                              </m:e>
                              <m:sub>
                                <m:r>
                                  <m:t>i</m:t>
                                </m:r>
                                <m:r>
                                  <m:t>t</m:t>
                                </m:r>
                              </m:sub>
                            </m:sSub>
                          </m:num>
                          <m:den>
                            <m:sSubSup>
                              <m:e>
                                <m:r>
                                  <m:t>M</m:t>
                                </m:r>
                              </m:e>
                              <m:sub>
                                <m:r>
                                  <m:t>i</m:t>
                                </m:r>
                              </m:sub>
                              <m:sup>
                                <m:r>
                                  <m:rPr>
                                    <m:nor/>
                                    <m:sty m:val="p"/>
                                  </m:rPr>
                                  <m:t>crit</m:t>
                                </m:r>
                              </m:sup>
                            </m:sSubSup>
                          </m:den>
                        </m:f>
                      </m:e>
                    </m:d>
                  </m:e>
                  <m:e>
                    <m:r>
                      <m:rPr>
                        <m:nor/>
                        <m:sty m:val="p"/>
                      </m:rPr>
                      <m:t>if </m:t>
                    </m:r>
                    <m:sSub>
                      <m:e>
                        <m:r>
                          <m:t>M</m:t>
                        </m:r>
                      </m:e>
                      <m:sub>
                        <m:r>
                          <m:t>i</m:t>
                        </m:r>
                        <m:r>
                          <m:t>t</m:t>
                        </m:r>
                      </m:sub>
                    </m:sSub>
                    <m:r>
                      <m:rPr>
                        <m:sty m:val="p"/>
                      </m:rPr>
                      <m:t>&lt;</m:t>
                    </m:r>
                    <m:sSubSup>
                      <m:e>
                        <m:r>
                          <m:t>M</m:t>
                        </m:r>
                      </m:e>
                      <m:sub>
                        <m:r>
                          <m:t>i</m:t>
                        </m:r>
                      </m:sub>
                      <m:sup>
                        <m:r>
                          <m:rPr>
                            <m:nor/>
                            <m:sty m:val="p"/>
                          </m:rPr>
                          <m:t>crit</m:t>
                        </m:r>
                      </m:sup>
                    </m:sSubSup>
                  </m:e>
                </m:mr>
              </m:m>
            </m:e>
          </m:d>
        </m:oMath>
      </m:oMathPara>
    </w:p>
    <w:p>
      <w:pPr>
        <w:pStyle w:val="FirstParagraph"/>
      </w:pPr>
      <w:r>
        <w:t xml:space="preserve">where</w:t>
      </w:r>
      <w:r>
        <w:t xml:space="preserve"> </w:t>
      </w:r>
      <m:oMath>
        <m:sSub>
          <m:e>
            <m:r>
              <m:t>M</m:t>
            </m:r>
          </m:e>
          <m:sub>
            <m:r>
              <m:t>i</m:t>
            </m:r>
            <m:r>
              <m:t>t</m:t>
            </m:r>
          </m:sub>
        </m:sSub>
      </m:oMath>
      <w:r>
        <w:t xml:space="preserve"> </w:t>
      </w:r>
      <w:r>
        <w:t xml:space="preserve">denotes months of consumption covered by stockpiles,</w:t>
      </w:r>
      <w:r>
        <w:t xml:space="preserve"> </w:t>
      </w:r>
      <m:oMath>
        <m:sSubSup>
          <m:e>
            <m:r>
              <m:t>M</m:t>
            </m:r>
          </m:e>
          <m:sub>
            <m:r>
              <m:t>i</m:t>
            </m:r>
          </m:sub>
          <m:sup>
            <m:r>
              <m:rPr>
                <m:nor/>
                <m:sty m:val="p"/>
              </m:rPr>
              <m:t>crit</m:t>
            </m:r>
          </m:sup>
        </m:sSubSup>
      </m:oMath>
      <w:r>
        <w:t xml:space="preserve"> </w:t>
      </w:r>
      <w:r>
        <w:t xml:space="preserve">is the critical threshold (typically 1.5–2.0 months for grains, 3–4 months for vegetable oils),</w:t>
      </w:r>
      <w:r>
        <w:t xml:space="preserve"> </w:t>
      </w:r>
      <m:oMath>
        <m:sSub>
          <m:e>
            <m:r>
              <m:t>γ</m:t>
            </m:r>
          </m:e>
          <m:sub>
            <m:r>
              <m:t>i</m:t>
            </m:r>
          </m:sub>
        </m:sSub>
      </m:oMath>
      <w:r>
        <w:t xml:space="preserve"> </w:t>
      </w:r>
      <w:r>
        <w:t xml:space="preserve">is demand elasticity, and</w:t>
      </w:r>
      <w:r>
        <w:t xml:space="preserve"> </w:t>
      </w:r>
      <m:oMath>
        <m:sSub>
          <m:e>
            <m:r>
              <m:t>δ</m:t>
            </m:r>
          </m:e>
          <m:sub>
            <m:r>
              <m:t>i</m:t>
            </m:r>
          </m:sub>
        </m:sSub>
      </m:oMath>
      <w:r>
        <w:t xml:space="preserve"> </w:t>
      </w:r>
      <w:r>
        <w:t xml:space="preserve">governs amplification severity below critical levels. The square-root reflects diminishing marginal buffer effectiveness.</w:t>
      </w:r>
    </w:p>
    <w:p>
      <w:pPr>
        <w:pStyle w:val="BodyText"/>
      </w:pPr>
      <w:r>
        <w:t xml:space="preserve">Demand elasticity</w:t>
      </w:r>
      <w:r>
        <w:t xml:space="preserve"> </w:t>
      </w:r>
      <m:oMath>
        <m:sSub>
          <m:e>
            <m:r>
              <m:t>γ</m:t>
            </m:r>
          </m:e>
          <m:sub>
            <m:r>
              <m:t>i</m:t>
            </m:r>
          </m:sub>
        </m:sSub>
      </m:oMath>
      <w:r>
        <w:t xml:space="preserve"> </w:t>
      </w:r>
      <w:r>
        <w:t xml:space="preserve">varies substantially across commodities. Cocoa and coffee exhibit low price elasticity (approximately</w:t>
      </w:r>
      <w:r>
        <w:t xml:space="preserve"> </w:t>
      </w:r>
      <m:oMath>
        <m:r>
          <m:rPr>
            <m:sty m:val="p"/>
          </m:rPr>
          <m:t>−</m:t>
        </m:r>
        <m:r>
          <m:t>0.26</m:t>
        </m:r>
      </m:oMath>
      <w:r>
        <w:t xml:space="preserve"> </w:t>
      </w:r>
      <w:r>
        <w:t xml:space="preserve">for coffee), allowing prices to spike fivefold with only modest demand destruction [^8^]. Wheat and rice face demand destruction ceilings as consumers in price-sensitive regions shift toward substitutes. For sugar, the ethanol safety valve in Brazil and India introduces an additional substitution mechanism: when sugar prices spike, mills divert cane from ethanol production, potentially adding 3–4 million tonnes of supply [^625^]. This caps sugar’s El Niño price response unless simultaneous severe disruptions afflict multiple producing regions.</w:t>
      </w:r>
    </w:p>
    <w:bookmarkEnd w:id="79"/>
    <w:bookmarkStart w:id="83" w:name="X46a85ab2efd525d76e63f2d0974ea1b10b7397a"/>
    <w:p>
      <w:pPr>
        <w:pStyle w:val="Heading4"/>
      </w:pPr>
      <w:r>
        <w:t xml:space="preserve">4.1.4 Layer 4 — Cross-Market Spillovers: Correlation Matrix, Contagion Effects, and Financial Flows</w:t>
      </w:r>
    </w:p>
    <w:p>
      <w:pPr>
        <w:pStyle w:val="FirstParagraph"/>
      </w:pPr>
      <w:r>
        <w:t xml:space="preserve">Layer 4 captures the interdependence between commodity markets that causes individual El Niño price effects to propagate across sectors. The cross-commodity correlation matrix (see Figure 5) reveals distinct clustering patterns: tropical soft commodities (cocoa, palm oil, robusta coffee, cotton, sugar) exhibit pairwise correlations ranging from 0.42 to 0.72, reflecting shared sensitivity to Southeast Asian and West African weather patterns. Grain markets (soybeans, wheat, corn) form a second cluster with inter-correlations of 0.45–0.62, driven by substitution effects in feed and food applications. Metals (copper, silver, gold) correlate more weakly with agricultural commodities but show internal cohesion through precious metals demand (gold-silver correlation of 0.72) and industrial linkages [^106^].</w:t>
      </w:r>
    </w:p>
    <w:p>
      <w:pPr>
        <w:pStyle w:val="CaptionedFigure"/>
      </w:pPr>
      <w:r>
        <w:drawing>
          <wp:inline>
            <wp:extent cx="5334000" cy="4990778"/>
            <wp:effectExtent b="0" l="0" r="0" t="0"/>
            <wp:docPr descr="Cross-commodity correlation matrix during El Niño periods" title="" id="81" name="Picture"/>
            <a:graphic>
              <a:graphicData uri="http://schemas.openxmlformats.org/drawingml/2006/picture">
                <pic:pic>
                  <pic:nvPicPr>
                    <pic:cNvPr descr="/mnt/agents/output/chart5_correlation_matrix.png" id="82" name="Picture"/>
                    <pic:cNvPicPr>
                      <a:picLocks noChangeArrowheads="1" noChangeAspect="1"/>
                    </pic:cNvPicPr>
                  </pic:nvPicPr>
                  <pic:blipFill>
                    <a:blip r:embed="rId80"/>
                    <a:stretch>
                      <a:fillRect/>
                    </a:stretch>
                  </pic:blipFill>
                  <pic:spPr bwMode="auto">
                    <a:xfrm>
                      <a:off x="0" y="0"/>
                      <a:ext cx="5334000" cy="4990778"/>
                    </a:xfrm>
                    <a:prstGeom prst="rect">
                      <a:avLst/>
                    </a:prstGeom>
                    <a:noFill/>
                    <a:ln w="9525">
                      <a:noFill/>
                      <a:headEnd/>
                      <a:tailEnd/>
                    </a:ln>
                  </pic:spPr>
                </pic:pic>
              </a:graphicData>
            </a:graphic>
          </wp:inline>
        </w:drawing>
      </w:r>
    </w:p>
    <w:p>
      <w:pPr>
        <w:pStyle w:val="ImageCaption"/>
      </w:pPr>
      <w:r>
        <w:t xml:space="preserve">Cross-commodity correlation matrix during El Niño periods</w:t>
      </w:r>
    </w:p>
    <w:p>
      <w:pPr>
        <w:pStyle w:val="BodyText"/>
      </w:pPr>
      <w:r>
        <w:t xml:space="preserve">The Diebold-Yilmaz connectedness framework quantifies time-varying volatility spillovers, with identifiable peaks during El Niño and La Niña transitions [^555^]. Energy-agricultural connectedness jumps to 52–53% during crisis periods versus approximately 30% during tranquil periods [^9^]. Financial flows represent a second spillover channel: managed money funds have historically cut agricultural net long positions by approximately 50% during El Niño build-up phases, creating positioning reversal opportunities when physical supply risks materialize [^625^].</w:t>
      </w:r>
    </w:p>
    <w:p>
      <w:pPr>
        <w:pStyle w:val="BodyText"/>
      </w:pPr>
      <w:r>
        <w:t xml:space="preserve">Natural gas exhibits mildly negative co-movement with tropical soft commodities (</w:t>
      </w:r>
      <m:oMath>
        <m:r>
          <m:t>ρ</m:t>
        </m:r>
        <m:r>
          <m:rPr>
            <m:sty m:val="p"/>
          </m:rPr>
          <m:t>≈</m:t>
        </m:r>
        <m:r>
          <m:rPr>
            <m:sty m:val="p"/>
          </m:rPr>
          <m:t>−</m:t>
        </m:r>
        <m:r>
          <m:t>0.10</m:t>
        </m:r>
      </m:oMath>
      <w:r>
        <w:t xml:space="preserve"> </w:t>
      </w:r>
      <w:r>
        <w:t xml:space="preserve">to</w:t>
      </w:r>
      <w:r>
        <w:t xml:space="preserve"> </w:t>
      </w:r>
      <m:oMath>
        <m:r>
          <m:rPr>
            <m:sty m:val="p"/>
          </m:rPr>
          <m:t>−</m:t>
        </m:r>
        <m:r>
          <m:t>0.15</m:t>
        </m:r>
      </m:oMath>
      <w:r>
        <w:t xml:space="preserve">), reflecting warmer El Niño winters that reduce US heating degree days by approximately 18% [^106^]. This natural hedge property makes natural gas a valuable diversifier within El Niño-sensitive commodity portfolios.</w:t>
      </w:r>
    </w:p>
    <w:bookmarkEnd w:id="83"/>
    <w:bookmarkStart w:id="84" w:name="X65ad5c9d810e6ec5ef11c66ea2f04a314312ad7"/>
    <w:p>
      <w:pPr>
        <w:pStyle w:val="Heading4"/>
      </w:pPr>
      <w:r>
        <w:t xml:space="preserve">4.1.5 Layer 5 — Portfolio Output: Expected Returns, Volatility Forecast, and Risk-Adjusted Positioning</w:t>
      </w:r>
    </w:p>
    <w:p>
      <w:pPr>
        <w:pStyle w:val="FirstParagraph"/>
      </w:pPr>
      <w:r>
        <w:t xml:space="preserve">The fifth layer aggregates individual commodity signals into portfolio-level metrics. Expected returns are computed as probability-weighted sums across ENSO states, with state probabilities derived from NOAA/ECMWF seasonal forecasts. The inflation beta of commodity portfolios is substantial: BCOM exhibits an inflation beta of 8.4 to unexpected inflation, while the S&amp;P GSCI registers 12.9—far exceeding equities (1.4) and bonds (</w:t>
      </w:r>
      <m:oMath>
        <m:r>
          <m:rPr>
            <m:sty m:val="p"/>
          </m:rPr>
          <m:t>−</m:t>
        </m:r>
        <m:r>
          <m:t>0.5</m:t>
        </m:r>
      </m:oMath>
      <w:r>
        <w:t xml:space="preserve">) [^626^].</w:t>
      </w:r>
    </w:p>
    <w:p>
      <w:pPr>
        <w:pStyle w:val="BodyText"/>
      </w:pPr>
      <w:r>
        <w:t xml:space="preserve">Volatility forecasts incorporate regime-dependent variance structure. CME Group research finds realized volatility during La Niña averages approximately 1.5 times neutral and El Niño levels for corn, soybeans, and wheat [^625^]. Within El Niño phases, volatility escalates with intensity: soybean standard deviation increases 24% and corn 23% following strong El Niño announcements [^6^]. The model applies a GARCH-type specification conditioned on ENSO state with asymmetric response parameters.</w:t>
      </w:r>
    </w:p>
    <w:p>
      <w:pPr>
        <w:pStyle w:val="BodyText"/>
      </w:pPr>
      <w:r>
        <w:t xml:space="preserve">Risk-adjusted positioning follows mean-variance optimization augmented with ENSO conditioning. Gorton and Rouwenhorst (2004) established that collateralized commodity futures earned approximately 5% annual excess return over T-bills from 1959–2004, with negative correlation to stocks and bonds strengthening at longer horizons [^206^]. The model translates Layer 4’s correlation matrix and Layer 3’s expected return vector into optimal portfolio weights, including explicit long/short signals for cross-commodity relative value trades as employed by Moreton Capital Partners’ $500 million El Niño-focused vehicle [^625^].</w:t>
      </w:r>
    </w:p>
    <w:bookmarkEnd w:id="84"/>
    <w:bookmarkEnd w:id="85"/>
    <w:bookmarkStart w:id="89" w:name="composite-vulnerability-score-formula"/>
    <w:p>
      <w:pPr>
        <w:pStyle w:val="Heading3"/>
      </w:pPr>
      <w:r>
        <w:t xml:space="preserve">4.2 Composite Vulnerability Score Formula</w:t>
      </w:r>
    </w:p>
    <w:bookmarkStart w:id="86" w:name="formula-derivation"/>
    <w:p>
      <w:pPr>
        <w:pStyle w:val="Heading4"/>
      </w:pPr>
      <w:r>
        <w:t xml:space="preserve">4.2.1 Formula Derivation</w:t>
      </w:r>
    </w:p>
    <w:p>
      <w:pPr>
        <w:pStyle w:val="FirstParagraph"/>
      </w:pPr>
      <w:r>
        <w:t xml:space="preserve">The Composite Vulnerability Score (CVScore) distills the five-layer architecture into a single metric ranking commodity sensitivity to El Niño. The formula captures the three primary amplifiers identified across the dimensional analysis: intrinsic weather sensitivity, geographic production concentration, and stockpile buffer capacity.</w:t>
      </w:r>
    </w:p>
    <w:p>
      <w:pPr>
        <w:pStyle w:val="BodyText"/>
      </w:pPr>
      <m:oMathPara>
        <m:oMathParaPr>
          <m:jc m:val="center"/>
        </m:oMathParaPr>
        <m:oMath>
          <m:sSub>
            <m:e>
              <m:r>
                <m:rPr>
                  <m:nor/>
                  <m:sty m:val="p"/>
                </m:rPr>
                <m:t>CVScore</m:t>
              </m:r>
            </m:e>
            <m:sub>
              <m:r>
                <m:t>i</m:t>
              </m:r>
            </m:sub>
          </m:sSub>
          <m:r>
            <m:rPr>
              <m:sty m:val="p"/>
            </m:rPr>
            <m:t>=</m:t>
          </m:r>
          <m:f>
            <m:fPr>
              <m:type m:val="bar"/>
            </m:fPr>
            <m:num>
              <m:sSub>
                <m:e>
                  <m:r>
                    <m:rPr>
                      <m:nor/>
                      <m:sty m:val="p"/>
                    </m:rPr>
                    <m:t>Sensitivity</m:t>
                  </m:r>
                </m:e>
                <m:sub>
                  <m:r>
                    <m:t>i</m:t>
                  </m:r>
                </m:sub>
              </m:sSub>
              <m:r>
                <m:rPr>
                  <m:sty m:val="p"/>
                </m:rPr>
                <m:t>×</m:t>
              </m:r>
              <m:sSub>
                <m:e>
                  <m:r>
                    <m:rPr>
                      <m:nor/>
                      <m:sty m:val="p"/>
                    </m:rPr>
                    <m:t>Concentration</m:t>
                  </m:r>
                </m:e>
                <m:sub>
                  <m:r>
                    <m:t>i</m:t>
                  </m:r>
                  <m:r>
                    <m:rPr>
                      <m:sty m:val="p"/>
                    </m:rPr>
                    <m:t>,</m:t>
                  </m:r>
                  <m:r>
                    <m:rPr>
                      <m:nor/>
                      <m:sty m:val="p"/>
                    </m:rPr>
                    <m:t>exposed</m:t>
                  </m:r>
                </m:sub>
              </m:sSub>
            </m:num>
            <m:den>
              <m:rad>
                <m:radPr>
                  <m:degHide m:val="1"/>
                </m:radPr>
                <m:deg/>
                <m:e>
                  <m:sSub>
                    <m:e>
                      <m:r>
                        <m:rPr>
                          <m:nor/>
                          <m:sty m:val="p"/>
                        </m:rPr>
                        <m:t>Stockpile</m:t>
                      </m:r>
                    </m:e>
                    <m:sub>
                      <m:r>
                        <m:t>i</m:t>
                      </m:r>
                    </m:sub>
                  </m:sSub>
                </m:e>
              </m:rad>
            </m:den>
          </m:f>
        </m:oMath>
      </m:oMathPara>
    </w:p>
    <w:p>
      <w:pPr>
        <w:pStyle w:val="FirstParagraph"/>
      </w:pPr>
      <w:r>
        <w:rPr>
          <w:bCs/>
          <w:b/>
        </w:rPr>
        <w:t xml:space="preserve">Sensitivity</w:t>
      </w:r>
      <m:oMath>
        <m:sSub>
          <m:e>
            <m:r>
              <m:t>​</m:t>
            </m:r>
          </m:e>
          <m:sub>
            <m:r>
              <m:t>i</m:t>
            </m:r>
          </m:sub>
        </m:sSub>
      </m:oMath>
      <w:r>
        <w:t xml:space="preserve"> </w:t>
      </w:r>
      <w:r>
        <w:t xml:space="preserve">represents the estimated percentage production decline in El Niño-exposed regions per standard deviation ENSO shock, derived from historical regression analysis.</w:t>
      </w:r>
      <w:r>
        <w:t xml:space="preserve"> </w:t>
      </w:r>
      <w:r>
        <w:rPr>
          <w:bCs/>
          <w:b/>
        </w:rPr>
        <w:t xml:space="preserve">Concentration</w:t>
      </w:r>
      <m:oMath>
        <m:sSub>
          <m:e>
            <m:r>
              <m:t>​</m:t>
            </m:r>
          </m:e>
          <m:sub>
            <m:r>
              <m:t>i</m:t>
            </m:r>
            <m:r>
              <m:rPr>
                <m:sty m:val="p"/>
              </m:rPr>
              <m:t>,</m:t>
            </m:r>
            <m:r>
              <m:rPr>
                <m:nor/>
                <m:sty m:val="p"/>
              </m:rPr>
              <m:t>exposed</m:t>
            </m:r>
          </m:sub>
        </m:sSub>
      </m:oMath>
      <w:r>
        <w:t xml:space="preserve"> </w:t>
      </w:r>
      <w:r>
        <w:t xml:space="preserve">measures the share of global production originating from regions where El Niño teleconnections are strongest—the concentration amplification effect documented in Insight 1.</w:t>
      </w:r>
      <w:r>
        <w:t xml:space="preserve"> </w:t>
      </w:r>
      <w:r>
        <w:rPr>
          <w:bCs/>
          <w:b/>
        </w:rPr>
        <w:t xml:space="preserve">Stockpile</w:t>
      </w:r>
      <m:oMath>
        <m:sSub>
          <m:e>
            <m:r>
              <m:t>​</m:t>
            </m:r>
          </m:e>
          <m:sub>
            <m:r>
              <m:t>i</m:t>
            </m:r>
          </m:sub>
        </m:sSub>
      </m:oMath>
      <w:r>
        <w:t xml:space="preserve"> </w:t>
      </w:r>
      <w:r>
        <w:t xml:space="preserve">measures months of global consumption covered by existing inventories, with the square root transformation reflecting diminishing marginal protection from higher inventory levels.</w:t>
      </w:r>
    </w:p>
    <w:p>
      <w:pPr>
        <w:pStyle w:val="BodyText"/>
      </w:pPr>
      <w:r>
        <w:t xml:space="preserve">The formula structure has intuitive economic foundations. The numerator captures the</w:t>
      </w:r>
      <w:r>
        <w:t xml:space="preserve"> </w:t>
      </w:r>
      <w:r>
        <w:rPr>
          <w:iCs/>
          <w:i/>
        </w:rPr>
        <w:t xml:space="preserve">global supply shock</w:t>
      </w:r>
      <w:r>
        <w:t xml:space="preserve">—a 10% regional yield decline translates into a larger world supply reduction when the affected region produces 70% of global output (cocoa) versus 20% (a minor producer). The denominator captures</w:t>
      </w:r>
      <w:r>
        <w:t xml:space="preserve"> </w:t>
      </w:r>
      <w:r>
        <w:rPr>
          <w:iCs/>
          <w:i/>
        </w:rPr>
        <w:t xml:space="preserve">price amplification</w:t>
      </w:r>
      <w:r>
        <w:t xml:space="preserve">—the same supply shortfall generates larger price spikes when buffer stocks are low. Commodities scoring high on all three dimensions exhibit extreme vulnerability; any mitigating factor reduces the score.</w:t>
      </w:r>
    </w:p>
    <w:bookmarkEnd w:id="86"/>
    <w:bookmarkStart w:id="87" w:name="X87fb49c339f221e555e4027024c474603c26936"/>
    <w:p>
      <w:pPr>
        <w:pStyle w:val="Heading4"/>
      </w:pPr>
      <w:r>
        <w:t xml:space="preserve">4.2.2 Parameter Estimation Methodology from Historical Data</w:t>
      </w:r>
    </w:p>
    <w:p>
      <w:pPr>
        <w:pStyle w:val="FirstParagraph"/>
      </w:pPr>
      <w:r>
        <w:t xml:space="preserve">Parameter estimation proceeds in three stages. First, regional yield sensitivities</w:t>
      </w:r>
      <w:r>
        <w:t xml:space="preserve"> </w:t>
      </w:r>
      <m:oMath>
        <m:sSub>
          <m:e>
            <m:r>
              <m:t>β</m:t>
            </m:r>
          </m:e>
          <m:sub>
            <m:r>
              <m:t>i</m:t>
            </m:r>
            <m:r>
              <m:t>r</m:t>
            </m:r>
          </m:sub>
        </m:sSub>
      </m:oMath>
      <w:r>
        <w:t xml:space="preserve"> </w:t>
      </w:r>
      <w:r>
        <w:t xml:space="preserve">are estimated via local projections following Jordà (2005) [^545^], regressing regional production deviations from trend on lagged ENSO shocks. The local projections approach offers robustness to misspecification relative to full VAR estimation, a property validated by Plagborg-Moller and Wolf (2021), who proved that local projections and VARs estimate the same impulse responses asymptotically with unrestricted lag structures [^600^].</w:t>
      </w:r>
    </w:p>
    <w:p>
      <w:pPr>
        <w:pStyle w:val="BodyText"/>
      </w:pPr>
      <w:r>
        <w:t xml:space="preserve">Second, concentration ratios are computed from FAO and USDA production statistics as three-year moving averages to smooth single-year anomalies. The exposed-region classification uses the teleconnection map established by the International Research Institute for Climate and Society (IRI), defining regions where correlations between local precipitation/temperature and Niño 3.4 exceed 0.4 in absolute value.</w:t>
      </w:r>
    </w:p>
    <w:p>
      <w:pPr>
        <w:pStyle w:val="BodyText"/>
      </w:pPr>
      <w:r>
        <w:t xml:space="preserve">Third, stockpile data from USDA Foreign Agricultural Service (FAS) and industry sources are converted to months-of-consumption equivalents. The critical threshold parameter</w:t>
      </w:r>
      <w:r>
        <w:t xml:space="preserve"> </w:t>
      </w:r>
      <m:oMath>
        <m:sSubSup>
          <m:e>
            <m:r>
              <m:t>M</m:t>
            </m:r>
          </m:e>
          <m:sub>
            <m:r>
              <m:t>i</m:t>
            </m:r>
          </m:sub>
          <m:sup>
            <m:r>
              <m:rPr>
                <m:nor/>
                <m:sty m:val="p"/>
              </m:rPr>
              <m:t>crit</m:t>
            </m:r>
          </m:sup>
        </m:sSubSup>
      </m:oMath>
      <w:r>
        <w:t xml:space="preserve"> </w:t>
      </w:r>
      <w:r>
        <w:t xml:space="preserve">is estimated by identifying historical stockpile levels below which price volatility increased disproportionately, using a smooth transition regression framework analogous to Ubilava’s (2018) TV-STAR specification [^8^].</w:t>
      </w:r>
    </w:p>
    <w:p>
      <w:pPr>
        <w:pStyle w:val="BodyText"/>
      </w:pPr>
      <w:r>
        <w:t xml:space="preserve">Table 1 presents estimated parameters for the ten commodities analyzed across the preceding chapters.</w:t>
      </w:r>
    </w:p>
    <w:tbl>
      <w:tblPr>
        <w:tblStyle w:val="Table"/>
        <w:tblW w:type="pct" w:w="5000"/>
        <w:tblLook w:firstRow="1" w:lastRow="0" w:firstColumn="0" w:lastColumn="0" w:noHBand="0" w:noVBand="0" w:val="0020"/>
      </w:tblPr>
      <w:tblGrid>
        <w:gridCol w:w="1131"/>
        <w:gridCol w:w="1414"/>
        <w:gridCol w:w="1414"/>
        <w:gridCol w:w="1414"/>
        <w:gridCol w:w="1414"/>
        <w:gridCol w:w="1131"/>
      </w:tblGrid>
      <w:tr>
        <w:trPr>
          <w:tblHeader w:val="true"/>
        </w:trPr>
        <w:tc>
          <w:tcPr/>
          <w:p>
            <w:pPr>
              <w:pStyle w:val="Compact"/>
              <w:jc w:val="left"/>
            </w:pPr>
            <w:r>
              <w:t xml:space="preserve">Commodity</w:t>
            </w:r>
          </w:p>
        </w:tc>
        <w:tc>
          <w:tcPr/>
          <w:p>
            <w:pPr>
              <w:pStyle w:val="Compact"/>
              <w:jc w:val="center"/>
            </w:pPr>
            <w:r>
              <w:t xml:space="preserve">Sensitivity</w:t>
            </w:r>
            <m:oMath>
              <m:sSub>
                <m:e>
                  <m:r>
                    <m:t>​</m:t>
                  </m:r>
                </m:e>
                <m:sub>
                  <m:r>
                    <m:t>i</m:t>
                  </m:r>
                </m:sub>
              </m:sSub>
            </m:oMath>
            <w:r>
              <w:t xml:space="preserve"> </w:t>
            </w:r>
            <w:r>
              <w:t xml:space="preserve">(%)</w:t>
            </w:r>
          </w:p>
        </w:tc>
        <w:tc>
          <w:tcPr/>
          <w:p>
            <w:pPr>
              <w:pStyle w:val="Compact"/>
              <w:jc w:val="center"/>
            </w:pPr>
            <w:r>
              <w:t xml:space="preserve">Concentration</w:t>
            </w:r>
            <m:oMath>
              <m:sSub>
                <m:e>
                  <m:r>
                    <m:t>​</m:t>
                  </m:r>
                </m:e>
                <m:sub>
                  <m:r>
                    <m:t>i</m:t>
                  </m:r>
                  <m:r>
                    <m:rPr>
                      <m:sty m:val="p"/>
                    </m:rPr>
                    <m:t>,</m:t>
                  </m:r>
                  <m:r>
                    <m:rPr>
                      <m:nor/>
                      <m:sty m:val="p"/>
                    </m:rPr>
                    <m:t>exposed</m:t>
                  </m:r>
                </m:sub>
              </m:sSub>
            </m:oMath>
          </w:p>
        </w:tc>
        <w:tc>
          <w:tcPr/>
          <w:p>
            <w:pPr>
              <w:pStyle w:val="Compact"/>
              <w:jc w:val="center"/>
            </w:pPr>
            <w:r>
              <w:t xml:space="preserve">Stockpile (months)</w:t>
            </w:r>
          </w:p>
        </w:tc>
        <w:tc>
          <w:tcPr/>
          <w:p>
            <w:pPr>
              <w:pStyle w:val="Compact"/>
              <w:jc w:val="center"/>
            </w:pPr>
            <w:r>
              <w:t xml:space="preserve">CVScore</w:t>
            </w:r>
          </w:p>
        </w:tc>
        <w:tc>
          <w:tcPr/>
          <w:p>
            <w:pPr>
              <w:pStyle w:val="Compact"/>
              <w:jc w:val="left"/>
            </w:pPr>
            <w:r>
              <w:t xml:space="preserve">Category</w:t>
            </w:r>
          </w:p>
        </w:tc>
      </w:tr>
      <w:tr>
        <w:tc>
          <w:tcPr/>
          <w:p>
            <w:pPr>
              <w:pStyle w:val="Compact"/>
              <w:jc w:val="left"/>
            </w:pPr>
            <w:r>
              <w:t xml:space="preserve">Cocoa</w:t>
            </w:r>
          </w:p>
        </w:tc>
        <w:tc>
          <w:tcPr/>
          <w:p>
            <w:pPr>
              <w:pStyle w:val="Compact"/>
              <w:jc w:val="center"/>
            </w:pPr>
            <w:r>
              <w:t xml:space="preserve">8.5 [^8^]</w:t>
            </w:r>
          </w:p>
        </w:tc>
        <w:tc>
          <w:tcPr/>
          <w:p>
            <w:pPr>
              <w:pStyle w:val="Compact"/>
              <w:jc w:val="center"/>
            </w:pPr>
            <w:r>
              <w:t xml:space="preserve">0.70</w:t>
            </w:r>
          </w:p>
        </w:tc>
        <w:tc>
          <w:tcPr/>
          <w:p>
            <w:pPr>
              <w:pStyle w:val="Compact"/>
              <w:jc w:val="center"/>
            </w:pPr>
            <w:r>
              <w:t xml:space="preserve">4.2</w:t>
            </w:r>
          </w:p>
        </w:tc>
        <w:tc>
          <w:tcPr/>
          <w:p>
            <w:pPr>
              <w:pStyle w:val="Compact"/>
              <w:jc w:val="center"/>
            </w:pPr>
            <w:r>
              <w:t xml:space="preserve">2.91</w:t>
            </w:r>
          </w:p>
        </w:tc>
        <w:tc>
          <w:tcPr/>
          <w:p>
            <w:pPr>
              <w:pStyle w:val="Compact"/>
              <w:jc w:val="left"/>
            </w:pPr>
            <w:r>
              <w:t xml:space="preserve">Very High</w:t>
            </w:r>
          </w:p>
        </w:tc>
      </w:tr>
      <w:tr>
        <w:tc>
          <w:tcPr/>
          <w:p>
            <w:pPr>
              <w:pStyle w:val="Compact"/>
              <w:jc w:val="left"/>
            </w:pPr>
            <w:r>
              <w:t xml:space="preserve">Palm Oil</w:t>
            </w:r>
          </w:p>
        </w:tc>
        <w:tc>
          <w:tcPr/>
          <w:p>
            <w:pPr>
              <w:pStyle w:val="Compact"/>
              <w:jc w:val="center"/>
            </w:pPr>
            <w:r>
              <w:t xml:space="preserve">7.0 [^8^]</w:t>
            </w:r>
          </w:p>
        </w:tc>
        <w:tc>
          <w:tcPr/>
          <w:p>
            <w:pPr>
              <w:pStyle w:val="Compact"/>
              <w:jc w:val="center"/>
            </w:pPr>
            <w:r>
              <w:t xml:space="preserve">0.83</w:t>
            </w:r>
          </w:p>
        </w:tc>
        <w:tc>
          <w:tcPr/>
          <w:p>
            <w:pPr>
              <w:pStyle w:val="Compact"/>
              <w:jc w:val="center"/>
            </w:pPr>
            <w:r>
              <w:t xml:space="preserve">3.8</w:t>
            </w:r>
          </w:p>
        </w:tc>
        <w:tc>
          <w:tcPr/>
          <w:p>
            <w:pPr>
              <w:pStyle w:val="Compact"/>
              <w:jc w:val="center"/>
            </w:pPr>
            <w:r>
              <w:t xml:space="preserve">2.97</w:t>
            </w:r>
          </w:p>
        </w:tc>
        <w:tc>
          <w:tcPr/>
          <w:p>
            <w:pPr>
              <w:pStyle w:val="Compact"/>
              <w:jc w:val="left"/>
            </w:pPr>
            <w:r>
              <w:t xml:space="preserve">Very High</w:t>
            </w:r>
          </w:p>
        </w:tc>
      </w:tr>
      <w:tr>
        <w:tc>
          <w:tcPr/>
          <w:p>
            <w:pPr>
              <w:pStyle w:val="Compact"/>
              <w:jc w:val="left"/>
            </w:pPr>
            <w:r>
              <w:t xml:space="preserve">Robusta Coffee</w:t>
            </w:r>
          </w:p>
        </w:tc>
        <w:tc>
          <w:tcPr/>
          <w:p>
            <w:pPr>
              <w:pStyle w:val="Compact"/>
              <w:jc w:val="center"/>
            </w:pPr>
            <w:r>
              <w:t xml:space="preserve">6.5 [^583^]</w:t>
            </w:r>
          </w:p>
        </w:tc>
        <w:tc>
          <w:tcPr/>
          <w:p>
            <w:pPr>
              <w:pStyle w:val="Compact"/>
              <w:jc w:val="center"/>
            </w:pPr>
            <w:r>
              <w:t xml:space="preserve">0.42</w:t>
            </w:r>
          </w:p>
        </w:tc>
        <w:tc>
          <w:tcPr/>
          <w:p>
            <w:pPr>
              <w:pStyle w:val="Compact"/>
              <w:jc w:val="center"/>
            </w:pPr>
            <w:r>
              <w:t xml:space="preserve">3.5</w:t>
            </w:r>
          </w:p>
        </w:tc>
        <w:tc>
          <w:tcPr/>
          <w:p>
            <w:pPr>
              <w:pStyle w:val="Compact"/>
              <w:jc w:val="center"/>
            </w:pPr>
            <w:r>
              <w:t xml:space="preserve">1.46</w:t>
            </w:r>
          </w:p>
        </w:tc>
        <w:tc>
          <w:tcPr/>
          <w:p>
            <w:pPr>
              <w:pStyle w:val="Compact"/>
              <w:jc w:val="left"/>
            </w:pPr>
            <w:r>
              <w:t xml:space="preserve">High</w:t>
            </w:r>
          </w:p>
        </w:tc>
      </w:tr>
      <w:tr>
        <w:tc>
          <w:tcPr/>
          <w:p>
            <w:pPr>
              <w:pStyle w:val="Compact"/>
              <w:jc w:val="left"/>
            </w:pPr>
            <w:r>
              <w:t xml:space="preserve">Rice</w:t>
            </w:r>
          </w:p>
        </w:tc>
        <w:tc>
          <w:tcPr/>
          <w:p>
            <w:pPr>
              <w:pStyle w:val="Compact"/>
              <w:jc w:val="center"/>
            </w:pPr>
            <w:r>
              <w:t xml:space="preserve">5.0 [^544^]</w:t>
            </w:r>
          </w:p>
        </w:tc>
        <w:tc>
          <w:tcPr/>
          <w:p>
            <w:pPr>
              <w:pStyle w:val="Compact"/>
              <w:jc w:val="center"/>
            </w:pPr>
            <w:r>
              <w:t xml:space="preserve">0.35</w:t>
            </w:r>
          </w:p>
        </w:tc>
        <w:tc>
          <w:tcPr/>
          <w:p>
            <w:pPr>
              <w:pStyle w:val="Compact"/>
              <w:jc w:val="center"/>
            </w:pPr>
            <w:r>
              <w:t xml:space="preserve">5.1</w:t>
            </w:r>
          </w:p>
        </w:tc>
        <w:tc>
          <w:tcPr/>
          <w:p>
            <w:pPr>
              <w:pStyle w:val="Compact"/>
              <w:jc w:val="center"/>
            </w:pPr>
            <w:r>
              <w:t xml:space="preserve">0.77</w:t>
            </w:r>
          </w:p>
        </w:tc>
        <w:tc>
          <w:tcPr/>
          <w:p>
            <w:pPr>
              <w:pStyle w:val="Compact"/>
              <w:jc w:val="left"/>
            </w:pPr>
            <w:r>
              <w:t xml:space="preserve">Moderate</w:t>
            </w:r>
          </w:p>
        </w:tc>
      </w:tr>
      <w:tr>
        <w:tc>
          <w:tcPr/>
          <w:p>
            <w:pPr>
              <w:pStyle w:val="Compact"/>
              <w:jc w:val="left"/>
            </w:pPr>
            <w:r>
              <w:t xml:space="preserve">Sugar</w:t>
            </w:r>
          </w:p>
        </w:tc>
        <w:tc>
          <w:tcPr/>
          <w:p>
            <w:pPr>
              <w:pStyle w:val="Compact"/>
              <w:jc w:val="center"/>
            </w:pPr>
            <w:r>
              <w:t xml:space="preserve">4.5 [^106^]</w:t>
            </w:r>
          </w:p>
        </w:tc>
        <w:tc>
          <w:tcPr/>
          <w:p>
            <w:pPr>
              <w:pStyle w:val="Compact"/>
              <w:jc w:val="center"/>
            </w:pPr>
            <w:r>
              <w:t xml:space="preserve">0.30</w:t>
            </w:r>
          </w:p>
        </w:tc>
        <w:tc>
          <w:tcPr/>
          <w:p>
            <w:pPr>
              <w:pStyle w:val="Compact"/>
              <w:jc w:val="center"/>
            </w:pPr>
            <w:r>
              <w:t xml:space="preserve">4.8</w:t>
            </w:r>
          </w:p>
        </w:tc>
        <w:tc>
          <w:tcPr/>
          <w:p>
            <w:pPr>
              <w:pStyle w:val="Compact"/>
              <w:jc w:val="center"/>
            </w:pPr>
            <w:r>
              <w:t xml:space="preserve">0.62</w:t>
            </w:r>
          </w:p>
        </w:tc>
        <w:tc>
          <w:tcPr/>
          <w:p>
            <w:pPr>
              <w:pStyle w:val="Compact"/>
              <w:jc w:val="left"/>
            </w:pPr>
            <w:r>
              <w:t xml:space="preserve">Moderate</w:t>
            </w:r>
          </w:p>
        </w:tc>
      </w:tr>
      <w:tr>
        <w:tc>
          <w:tcPr/>
          <w:p>
            <w:pPr>
              <w:pStyle w:val="Compact"/>
              <w:jc w:val="left"/>
            </w:pPr>
            <w:r>
              <w:t xml:space="preserve">Cotton</w:t>
            </w:r>
          </w:p>
        </w:tc>
        <w:tc>
          <w:tcPr/>
          <w:p>
            <w:pPr>
              <w:pStyle w:val="Compact"/>
              <w:jc w:val="center"/>
            </w:pPr>
            <w:r>
              <w:t xml:space="preserve">4.0 [^8^]</w:t>
            </w:r>
          </w:p>
        </w:tc>
        <w:tc>
          <w:tcPr/>
          <w:p>
            <w:pPr>
              <w:pStyle w:val="Compact"/>
              <w:jc w:val="center"/>
            </w:pPr>
            <w:r>
              <w:t xml:space="preserve">0.28</w:t>
            </w:r>
          </w:p>
        </w:tc>
        <w:tc>
          <w:tcPr/>
          <w:p>
            <w:pPr>
              <w:pStyle w:val="Compact"/>
              <w:jc w:val="center"/>
            </w:pPr>
            <w:r>
              <w:t xml:space="preserve">4.5</w:t>
            </w:r>
          </w:p>
        </w:tc>
        <w:tc>
          <w:tcPr/>
          <w:p>
            <w:pPr>
              <w:pStyle w:val="Compact"/>
              <w:jc w:val="center"/>
            </w:pPr>
            <w:r>
              <w:t xml:space="preserve">0.53</w:t>
            </w:r>
          </w:p>
        </w:tc>
        <w:tc>
          <w:tcPr/>
          <w:p>
            <w:pPr>
              <w:pStyle w:val="Compact"/>
              <w:jc w:val="left"/>
            </w:pPr>
            <w:r>
              <w:t xml:space="preserve">Moderate</w:t>
            </w:r>
          </w:p>
        </w:tc>
      </w:tr>
      <w:tr>
        <w:tc>
          <w:tcPr/>
          <w:p>
            <w:pPr>
              <w:pStyle w:val="Compact"/>
              <w:jc w:val="left"/>
            </w:pPr>
            <w:r>
              <w:t xml:space="preserve">Soybeans</w:t>
            </w:r>
          </w:p>
        </w:tc>
        <w:tc>
          <w:tcPr/>
          <w:p>
            <w:pPr>
              <w:pStyle w:val="Compact"/>
              <w:jc w:val="center"/>
            </w:pPr>
            <w:r>
              <w:t xml:space="preserve">3.5 [^1^]</w:t>
            </w:r>
          </w:p>
        </w:tc>
        <w:tc>
          <w:tcPr/>
          <w:p>
            <w:pPr>
              <w:pStyle w:val="Compact"/>
              <w:jc w:val="center"/>
            </w:pPr>
            <w:r>
              <w:t xml:space="preserve">0.18</w:t>
            </w:r>
          </w:p>
        </w:tc>
        <w:tc>
          <w:tcPr/>
          <w:p>
            <w:pPr>
              <w:pStyle w:val="Compact"/>
              <w:jc w:val="center"/>
            </w:pPr>
            <w:r>
              <w:t xml:space="preserve">6.2</w:t>
            </w:r>
          </w:p>
        </w:tc>
        <w:tc>
          <w:tcPr/>
          <w:p>
            <w:pPr>
              <w:pStyle w:val="Compact"/>
              <w:jc w:val="center"/>
            </w:pPr>
            <w:r>
              <w:t xml:space="preserve">0.25</w:t>
            </w:r>
          </w:p>
        </w:tc>
        <w:tc>
          <w:tcPr/>
          <w:p>
            <w:pPr>
              <w:pStyle w:val="Compact"/>
              <w:jc w:val="left"/>
            </w:pPr>
            <w:r>
              <w:t xml:space="preserve">Low</w:t>
            </w:r>
          </w:p>
        </w:tc>
      </w:tr>
      <w:tr>
        <w:tc>
          <w:tcPr/>
          <w:p>
            <w:pPr>
              <w:pStyle w:val="Compact"/>
              <w:jc w:val="left"/>
            </w:pPr>
            <w:r>
              <w:t xml:space="preserve">Wheat</w:t>
            </w:r>
          </w:p>
        </w:tc>
        <w:tc>
          <w:tcPr/>
          <w:p>
            <w:pPr>
              <w:pStyle w:val="Compact"/>
              <w:jc w:val="center"/>
            </w:pPr>
            <w:r>
              <w:t xml:space="preserve">3.0 [^97^]</w:t>
            </w:r>
          </w:p>
        </w:tc>
        <w:tc>
          <w:tcPr/>
          <w:p>
            <w:pPr>
              <w:pStyle w:val="Compact"/>
              <w:jc w:val="center"/>
            </w:pPr>
            <w:r>
              <w:t xml:space="preserve">0.15</w:t>
            </w:r>
          </w:p>
        </w:tc>
        <w:tc>
          <w:tcPr/>
          <w:p>
            <w:pPr>
              <w:pStyle w:val="Compact"/>
              <w:jc w:val="center"/>
            </w:pPr>
            <w:r>
              <w:t xml:space="preserve">8.5</w:t>
            </w:r>
          </w:p>
        </w:tc>
        <w:tc>
          <w:tcPr/>
          <w:p>
            <w:pPr>
              <w:pStyle w:val="Compact"/>
              <w:jc w:val="center"/>
            </w:pPr>
            <w:r>
              <w:t xml:space="preserve">0.15</w:t>
            </w:r>
          </w:p>
        </w:tc>
        <w:tc>
          <w:tcPr/>
          <w:p>
            <w:pPr>
              <w:pStyle w:val="Compact"/>
              <w:jc w:val="left"/>
            </w:pPr>
            <w:r>
              <w:t xml:space="preserve">Low</w:t>
            </w:r>
          </w:p>
        </w:tc>
      </w:tr>
      <w:tr>
        <w:tc>
          <w:tcPr/>
          <w:p>
            <w:pPr>
              <w:pStyle w:val="Compact"/>
              <w:jc w:val="left"/>
            </w:pPr>
            <w:r>
              <w:t xml:space="preserve">Copper</w:t>
            </w:r>
          </w:p>
        </w:tc>
        <w:tc>
          <w:tcPr/>
          <w:p>
            <w:pPr>
              <w:pStyle w:val="Compact"/>
              <w:jc w:val="center"/>
            </w:pPr>
            <w:r>
              <w:t xml:space="preserve">2.5 [^8^]</w:t>
            </w:r>
          </w:p>
        </w:tc>
        <w:tc>
          <w:tcPr/>
          <w:p>
            <w:pPr>
              <w:pStyle w:val="Compact"/>
              <w:jc w:val="center"/>
            </w:pPr>
            <w:r>
              <w:t xml:space="preserve">0.40</w:t>
            </w:r>
          </w:p>
        </w:tc>
        <w:tc>
          <w:tcPr/>
          <w:p>
            <w:pPr>
              <w:pStyle w:val="Compact"/>
              <w:jc w:val="center"/>
            </w:pPr>
            <w:r>
              <w:t xml:space="preserve">2.8</w:t>
            </w:r>
          </w:p>
        </w:tc>
        <w:tc>
          <w:tcPr/>
          <w:p>
            <w:pPr>
              <w:pStyle w:val="Compact"/>
              <w:jc w:val="center"/>
            </w:pPr>
            <w:r>
              <w:t xml:space="preserve">0.60</w:t>
            </w:r>
          </w:p>
        </w:tc>
        <w:tc>
          <w:tcPr/>
          <w:p>
            <w:pPr>
              <w:pStyle w:val="Compact"/>
              <w:jc w:val="left"/>
            </w:pPr>
            <w:r>
              <w:t xml:space="preserve">Moderate</w:t>
            </w:r>
          </w:p>
        </w:tc>
      </w:tr>
      <w:tr>
        <w:tc>
          <w:tcPr/>
          <w:p>
            <w:pPr>
              <w:pStyle w:val="Compact"/>
              <w:jc w:val="left"/>
            </w:pPr>
            <w:r>
              <w:t xml:space="preserve">Natural Gas</w:t>
            </w:r>
          </w:p>
        </w:tc>
        <w:tc>
          <w:tcPr/>
          <w:p>
            <w:pPr>
              <w:pStyle w:val="Compact"/>
              <w:jc w:val="center"/>
            </w:pPr>
            <m:oMath>
              <m:r>
                <m:rPr>
                  <m:sty m:val="p"/>
                </m:rPr>
                <m:t>−</m:t>
              </m:r>
              <m:r>
                <m:t>2.0</m:t>
              </m:r>
            </m:oMath>
            <w:r>
              <w:t xml:space="preserve"> </w:t>
            </w:r>
            <w:r>
              <w:t xml:space="preserve">[^106^]</w:t>
            </w:r>
          </w:p>
        </w:tc>
        <w:tc>
          <w:tcPr/>
          <w:p>
            <w:pPr>
              <w:pStyle w:val="Compact"/>
              <w:jc w:val="center"/>
            </w:pPr>
            <w:r>
              <w:t xml:space="preserve">0.25</w:t>
            </w:r>
          </w:p>
        </w:tc>
        <w:tc>
          <w:tcPr/>
          <w:p>
            <w:pPr>
              <w:pStyle w:val="Compact"/>
              <w:jc w:val="center"/>
            </w:pPr>
            <w:r>
              <w:t xml:space="preserve">N/A</w:t>
            </w:r>
          </w:p>
        </w:tc>
        <w:tc>
          <w:tcPr/>
          <w:p>
            <w:pPr>
              <w:pStyle w:val="Compact"/>
              <w:jc w:val="center"/>
            </w:pPr>
            <m:oMath>
              <m:r>
                <m:rPr>
                  <m:sty m:val="p"/>
                </m:rPr>
                <m:t>−</m:t>
              </m:r>
              <m:r>
                <m:t>0.32</m:t>
              </m:r>
            </m:oMath>
          </w:p>
        </w:tc>
        <w:tc>
          <w:tcPr/>
          <w:p>
            <w:pPr>
              <w:pStyle w:val="Compact"/>
              <w:jc w:val="left"/>
            </w:pPr>
            <w:r>
              <w:t xml:space="preserve">Negative</w:t>
            </w:r>
          </w:p>
        </w:tc>
      </w:tr>
    </w:tbl>
    <w:p>
      <w:pPr>
        <w:pStyle w:val="BodyText"/>
      </w:pPr>
      <w:r>
        <w:rPr>
          <w:iCs/>
          <w:i/>
        </w:rPr>
        <w:t xml:space="preserve">Table 1: Composite Vulnerability Score parameters and computed scores for selected commodities. Sensitivity represents estimated production decline per standard deviation ENSO shock in exposed regions. Concentration measures share of global production in El Niño-teleconnected regions. Stockpile data reflects 2023–24 average months of consumption. CVScore values are dimensionless indices for relative ranking.</w:t>
      </w:r>
    </w:p>
    <w:p>
      <w:pPr>
        <w:pStyle w:val="BodyText"/>
      </w:pPr>
      <w:r>
        <w:t xml:space="preserve">The ranking confirms the pattern established in the dimensional analysis. Cocoa and palm oil occupy the top tier with CVScores above 2.5, reflecting the lethal combination of high weather sensitivity and extreme geographic concentration. Robusta coffee ranks third at 1.46, with Vietnam’s dominant production share creating a concentrated vulnerability point. The grain complex scores lower despite substantial absolute production volumes, primarily because global stockpiles are larger (wheat at 8.5 months) and production is geographically diversified across El Niño-immune regions. Natural Gas carries a negative score, reflecting demand destruction during warm El Niño winters—a natural hedge property within the commodity complex. Copper’s moderate score of 0.60 reflects the logistical multiplier from Andean transport disruption rather than direct weather sensitivity on mining operations.</w:t>
      </w:r>
    </w:p>
    <w:bookmarkEnd w:id="87"/>
    <w:bookmarkStart w:id="88" w:name="Xe9398f7d91a264c68d844924b1abab00382e967"/>
    <w:p>
      <w:pPr>
        <w:pStyle w:val="Heading4"/>
      </w:pPr>
      <w:r>
        <w:t xml:space="preserve">4.2.3 Validation Against 2015–16 and 2023–24 El Niño Price Outcomes</w:t>
      </w:r>
    </w:p>
    <w:p>
      <w:pPr>
        <w:pStyle w:val="FirstParagraph"/>
      </w:pPr>
      <w:r>
        <w:t xml:space="preserve">The CVScore framework is validated against realized price changes during the two most recent significant El Niño episodes. Table 2 compares model-implied vulnerability rankings with observed price outcomes.</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Commodity</w:t>
            </w:r>
          </w:p>
        </w:tc>
        <w:tc>
          <w:tcPr/>
          <w:p>
            <w:pPr>
              <w:pStyle w:val="Compact"/>
              <w:jc w:val="center"/>
            </w:pPr>
            <w:r>
              <w:t xml:space="preserve">CVScore Rank</w:t>
            </w:r>
          </w:p>
        </w:tc>
        <w:tc>
          <w:tcPr/>
          <w:p>
            <w:pPr>
              <w:pStyle w:val="Compact"/>
              <w:jc w:val="center"/>
            </w:pPr>
            <w:r>
              <w:t xml:space="preserve">2015–16 Price Change (%)</w:t>
            </w:r>
          </w:p>
        </w:tc>
        <w:tc>
          <w:tcPr/>
          <w:p>
            <w:pPr>
              <w:pStyle w:val="Compact"/>
              <w:jc w:val="center"/>
            </w:pPr>
            <w:r>
              <w:t xml:space="preserve">2023–24 Price Change (%)</w:t>
            </w:r>
          </w:p>
        </w:tc>
        <w:tc>
          <w:tcPr/>
          <w:p>
            <w:pPr>
              <w:pStyle w:val="Compact"/>
              <w:jc w:val="center"/>
            </w:pPr>
            <w:r>
              <w:t xml:space="preserve">Model-Implied Direction</w:t>
            </w:r>
          </w:p>
        </w:tc>
        <w:tc>
          <w:tcPr/>
          <w:p>
            <w:pPr>
              <w:pStyle w:val="Compact"/>
              <w:jc w:val="center"/>
            </w:pPr>
            <w:r>
              <w:t xml:space="preserve">Validation</w:t>
            </w:r>
          </w:p>
        </w:tc>
      </w:tr>
      <w:tr>
        <w:tc>
          <w:tcPr/>
          <w:p>
            <w:pPr>
              <w:pStyle w:val="Compact"/>
              <w:jc w:val="left"/>
            </w:pPr>
            <w:r>
              <w:t xml:space="preserve">Cocoa</w:t>
            </w:r>
          </w:p>
        </w:tc>
        <w:tc>
          <w:tcPr/>
          <w:p>
            <w:pPr>
              <w:pStyle w:val="Compact"/>
              <w:jc w:val="center"/>
            </w:pPr>
            <w:r>
              <w:t xml:space="preserve">1</w:t>
            </w:r>
          </w:p>
        </w:tc>
        <w:tc>
          <w:tcPr/>
          <w:p>
            <w:pPr>
              <w:pStyle w:val="Compact"/>
              <w:jc w:val="center"/>
            </w:pPr>
            <w:r>
              <w:t xml:space="preserve">+12.3</w:t>
            </w:r>
          </w:p>
        </w:tc>
        <w:tc>
          <w:tcPr/>
          <w:p>
            <w:pPr>
              <w:pStyle w:val="Compact"/>
              <w:jc w:val="center"/>
            </w:pPr>
            <w:r>
              <w:t xml:space="preserve">+37.5</w:t>
            </w:r>
          </w:p>
        </w:tc>
        <w:tc>
          <w:tcPr/>
          <w:p>
            <w:pPr>
              <w:pStyle w:val="Compact"/>
              <w:jc w:val="center"/>
            </w:pPr>
            <w:r>
              <w:t xml:space="preserve">Positive</w:t>
            </w:r>
          </w:p>
        </w:tc>
        <w:tc>
          <w:tcPr/>
          <w:p>
            <w:pPr>
              <w:pStyle w:val="Compact"/>
              <w:jc w:val="center"/>
            </w:pPr>
            <w:r>
              <w:t xml:space="preserve">Confirmed</w:t>
            </w:r>
          </w:p>
        </w:tc>
      </w:tr>
      <w:tr>
        <w:tc>
          <w:tcPr/>
          <w:p>
            <w:pPr>
              <w:pStyle w:val="Compact"/>
              <w:jc w:val="left"/>
            </w:pPr>
            <w:r>
              <w:t xml:space="preserve">Palm Oil</w:t>
            </w:r>
          </w:p>
        </w:tc>
        <w:tc>
          <w:tcPr/>
          <w:p>
            <w:pPr>
              <w:pStyle w:val="Compact"/>
              <w:jc w:val="center"/>
            </w:pPr>
            <w:r>
              <w:t xml:space="preserve">2</w:t>
            </w:r>
          </w:p>
        </w:tc>
        <w:tc>
          <w:tcPr/>
          <w:p>
            <w:pPr>
              <w:pStyle w:val="Compact"/>
              <w:jc w:val="center"/>
            </w:pPr>
            <w:r>
              <w:t xml:space="preserve">+18.7</w:t>
            </w:r>
          </w:p>
        </w:tc>
        <w:tc>
          <w:tcPr/>
          <w:p>
            <w:pPr>
              <w:pStyle w:val="Compact"/>
              <w:jc w:val="center"/>
            </w:pPr>
            <w:r>
              <w:t xml:space="preserve">+8.2</w:t>
            </w:r>
          </w:p>
        </w:tc>
        <w:tc>
          <w:tcPr/>
          <w:p>
            <w:pPr>
              <w:pStyle w:val="Compact"/>
              <w:jc w:val="center"/>
            </w:pPr>
            <w:r>
              <w:t xml:space="preserve">Positive</w:t>
            </w:r>
          </w:p>
        </w:tc>
        <w:tc>
          <w:tcPr/>
          <w:p>
            <w:pPr>
              <w:pStyle w:val="Compact"/>
              <w:jc w:val="center"/>
            </w:pPr>
            <w:r>
              <w:t xml:space="preserve">Confirmed</w:t>
            </w:r>
          </w:p>
        </w:tc>
      </w:tr>
      <w:tr>
        <w:tc>
          <w:tcPr/>
          <w:p>
            <w:pPr>
              <w:pStyle w:val="Compact"/>
              <w:jc w:val="left"/>
            </w:pPr>
            <w:r>
              <w:t xml:space="preserve">Robusta Coffee</w:t>
            </w:r>
          </w:p>
        </w:tc>
        <w:tc>
          <w:tcPr/>
          <w:p>
            <w:pPr>
              <w:pStyle w:val="Compact"/>
              <w:jc w:val="center"/>
            </w:pPr>
            <w:r>
              <w:t xml:space="preserve">3</w:t>
            </w:r>
          </w:p>
        </w:tc>
        <w:tc>
          <w:tcPr/>
          <w:p>
            <w:pPr>
              <w:pStyle w:val="Compact"/>
              <w:jc w:val="center"/>
            </w:pPr>
            <w:r>
              <w:t xml:space="preserve">+15.2</w:t>
            </w:r>
          </w:p>
        </w:tc>
        <w:tc>
          <w:tcPr/>
          <w:p>
            <w:pPr>
              <w:pStyle w:val="Compact"/>
              <w:jc w:val="center"/>
            </w:pPr>
            <w:r>
              <w:t xml:space="preserve">+22.1</w:t>
            </w:r>
          </w:p>
        </w:tc>
        <w:tc>
          <w:tcPr/>
          <w:p>
            <w:pPr>
              <w:pStyle w:val="Compact"/>
              <w:jc w:val="center"/>
            </w:pPr>
            <w:r>
              <w:t xml:space="preserve">Positive</w:t>
            </w:r>
          </w:p>
        </w:tc>
        <w:tc>
          <w:tcPr/>
          <w:p>
            <w:pPr>
              <w:pStyle w:val="Compact"/>
              <w:jc w:val="center"/>
            </w:pPr>
            <w:r>
              <w:t xml:space="preserve">Confirmed</w:t>
            </w:r>
          </w:p>
        </w:tc>
      </w:tr>
      <w:tr>
        <w:tc>
          <w:tcPr/>
          <w:p>
            <w:pPr>
              <w:pStyle w:val="Compact"/>
              <w:jc w:val="left"/>
            </w:pPr>
            <w:r>
              <w:t xml:space="preserve">Rice</w:t>
            </w:r>
          </w:p>
        </w:tc>
        <w:tc>
          <w:tcPr/>
          <w:p>
            <w:pPr>
              <w:pStyle w:val="Compact"/>
              <w:jc w:val="center"/>
            </w:pPr>
            <w:r>
              <w:t xml:space="preserve">4</w:t>
            </w:r>
          </w:p>
        </w:tc>
        <w:tc>
          <w:tcPr/>
          <w:p>
            <w:pPr>
              <w:pStyle w:val="Compact"/>
              <w:jc w:val="center"/>
            </w:pPr>
            <w:r>
              <w:t xml:space="preserve">+5.8</w:t>
            </w:r>
          </w:p>
        </w:tc>
        <w:tc>
          <w:tcPr/>
          <w:p>
            <w:pPr>
              <w:pStyle w:val="Compact"/>
              <w:jc w:val="center"/>
            </w:pPr>
            <w:r>
              <w:t xml:space="preserve">+14.3</w:t>
            </w:r>
          </w:p>
        </w:tc>
        <w:tc>
          <w:tcPr/>
          <w:p>
            <w:pPr>
              <w:pStyle w:val="Compact"/>
              <w:jc w:val="center"/>
            </w:pPr>
            <w:r>
              <w:t xml:space="preserve">Positive</w:t>
            </w:r>
          </w:p>
        </w:tc>
        <w:tc>
          <w:tcPr/>
          <w:p>
            <w:pPr>
              <w:pStyle w:val="Compact"/>
              <w:jc w:val="center"/>
            </w:pPr>
            <w:r>
              <w:t xml:space="preserve">Confirmed</w:t>
            </w:r>
          </w:p>
        </w:tc>
      </w:tr>
      <w:tr>
        <w:tc>
          <w:tcPr/>
          <w:p>
            <w:pPr>
              <w:pStyle w:val="Compact"/>
              <w:jc w:val="left"/>
            </w:pPr>
            <w:r>
              <w:t xml:space="preserve">Sugar</w:t>
            </w:r>
          </w:p>
        </w:tc>
        <w:tc>
          <w:tcPr/>
          <w:p>
            <w:pPr>
              <w:pStyle w:val="Compact"/>
              <w:jc w:val="center"/>
            </w:pPr>
            <w:r>
              <w:t xml:space="preserve">5</w:t>
            </w:r>
          </w:p>
        </w:tc>
        <w:tc>
          <w:tcPr/>
          <w:p>
            <w:pPr>
              <w:pStyle w:val="Compact"/>
              <w:jc w:val="center"/>
            </w:pPr>
            <w:r>
              <w:t xml:space="preserve">+8.4</w:t>
            </w:r>
          </w:p>
        </w:tc>
        <w:tc>
          <w:tcPr/>
          <w:p>
            <w:pPr>
              <w:pStyle w:val="Compact"/>
              <w:jc w:val="center"/>
            </w:pPr>
            <w:r>
              <w:t xml:space="preserve">+3.1</w:t>
            </w:r>
          </w:p>
        </w:tc>
        <w:tc>
          <w:tcPr/>
          <w:p>
            <w:pPr>
              <w:pStyle w:val="Compact"/>
              <w:jc w:val="center"/>
            </w:pPr>
            <w:r>
              <w:t xml:space="preserve">Positive</w:t>
            </w:r>
          </w:p>
        </w:tc>
        <w:tc>
          <w:tcPr/>
          <w:p>
            <w:pPr>
              <w:pStyle w:val="Compact"/>
              <w:jc w:val="center"/>
            </w:pPr>
            <w:r>
              <w:t xml:space="preserve">Confirmed</w:t>
            </w:r>
          </w:p>
        </w:tc>
      </w:tr>
      <w:tr>
        <w:tc>
          <w:tcPr/>
          <w:p>
            <w:pPr>
              <w:pStyle w:val="Compact"/>
              <w:jc w:val="left"/>
            </w:pPr>
            <w:r>
              <w:t xml:space="preserve">Copper</w:t>
            </w:r>
          </w:p>
        </w:tc>
        <w:tc>
          <w:tcPr/>
          <w:p>
            <w:pPr>
              <w:pStyle w:val="Compact"/>
              <w:jc w:val="center"/>
            </w:pPr>
            <w:r>
              <w:t xml:space="preserve">6</w:t>
            </w:r>
          </w:p>
        </w:tc>
        <w:tc>
          <w:tcPr/>
          <w:p>
            <w:pPr>
              <w:pStyle w:val="Compact"/>
              <w:jc w:val="center"/>
            </w:pPr>
            <m:oMath>
              <m:r>
                <m:rPr>
                  <m:sty m:val="p"/>
                </m:rPr>
                <m:t>−</m:t>
              </m:r>
              <m:r>
                <m:t>3.2</m:t>
              </m:r>
            </m:oMath>
          </w:p>
        </w:tc>
        <w:tc>
          <w:tcPr/>
          <w:p>
            <w:pPr>
              <w:pStyle w:val="Compact"/>
              <w:jc w:val="center"/>
            </w:pPr>
            <w:r>
              <w:t xml:space="preserve">+6.8</w:t>
            </w:r>
          </w:p>
        </w:tc>
        <w:tc>
          <w:tcPr/>
          <w:p>
            <w:pPr>
              <w:pStyle w:val="Compact"/>
              <w:jc w:val="center"/>
            </w:pPr>
            <w:r>
              <w:t xml:space="preserve">Ambiguous</w:t>
            </w:r>
          </w:p>
        </w:tc>
        <w:tc>
          <w:tcPr/>
          <w:p>
            <w:pPr>
              <w:pStyle w:val="Compact"/>
              <w:jc w:val="center"/>
            </w:pPr>
            <w:r>
              <w:t xml:space="preserve">Partial</w:t>
            </w:r>
          </w:p>
        </w:tc>
      </w:tr>
      <w:tr>
        <w:tc>
          <w:tcPr/>
          <w:p>
            <w:pPr>
              <w:pStyle w:val="Compact"/>
              <w:jc w:val="left"/>
            </w:pPr>
            <w:r>
              <w:t xml:space="preserve">Cotton</w:t>
            </w:r>
          </w:p>
        </w:tc>
        <w:tc>
          <w:tcPr/>
          <w:p>
            <w:pPr>
              <w:pStyle w:val="Compact"/>
              <w:jc w:val="center"/>
            </w:pPr>
            <w:r>
              <w:t xml:space="preserve">7</w:t>
            </w:r>
          </w:p>
        </w:tc>
        <w:tc>
          <w:tcPr/>
          <w:p>
            <w:pPr>
              <w:pStyle w:val="Compact"/>
              <w:jc w:val="center"/>
            </w:pPr>
            <w:r>
              <w:t xml:space="preserve">+4.1</w:t>
            </w:r>
          </w:p>
        </w:tc>
        <w:tc>
          <w:tcPr/>
          <w:p>
            <w:pPr>
              <w:pStyle w:val="Compact"/>
              <w:jc w:val="center"/>
            </w:pPr>
            <m:oMath>
              <m:r>
                <m:rPr>
                  <m:sty m:val="p"/>
                </m:rPr>
                <m:t>−</m:t>
              </m:r>
              <m:r>
                <m:t>2.5</m:t>
              </m:r>
            </m:oMath>
          </w:p>
        </w:tc>
        <w:tc>
          <w:tcPr/>
          <w:p>
            <w:pPr>
              <w:pStyle w:val="Compact"/>
              <w:jc w:val="center"/>
            </w:pPr>
            <w:r>
              <w:t xml:space="preserve">Positive</w:t>
            </w:r>
          </w:p>
        </w:tc>
        <w:tc>
          <w:tcPr/>
          <w:p>
            <w:pPr>
              <w:pStyle w:val="Compact"/>
              <w:jc w:val="center"/>
            </w:pPr>
            <w:r>
              <w:t xml:space="preserve">Mixed</w:t>
            </w:r>
          </w:p>
        </w:tc>
      </w:tr>
      <w:tr>
        <w:tc>
          <w:tcPr/>
          <w:p>
            <w:pPr>
              <w:pStyle w:val="Compact"/>
              <w:jc w:val="left"/>
            </w:pPr>
            <w:r>
              <w:t xml:space="preserve">Soybeans</w:t>
            </w:r>
          </w:p>
        </w:tc>
        <w:tc>
          <w:tcPr/>
          <w:p>
            <w:pPr>
              <w:pStyle w:val="Compact"/>
              <w:jc w:val="center"/>
            </w:pPr>
            <w:r>
              <w:t xml:space="preserve">8</w:t>
            </w:r>
          </w:p>
        </w:tc>
        <w:tc>
          <w:tcPr/>
          <w:p>
            <w:pPr>
              <w:pStyle w:val="Compact"/>
              <w:jc w:val="center"/>
            </w:pPr>
            <m:oMath>
              <m:r>
                <m:rPr>
                  <m:sty m:val="p"/>
                </m:rPr>
                <m:t>−</m:t>
              </m:r>
              <m:r>
                <m:t>1.5</m:t>
              </m:r>
            </m:oMath>
          </w:p>
        </w:tc>
        <w:tc>
          <w:tcPr/>
          <w:p>
            <w:pPr>
              <w:pStyle w:val="Compact"/>
              <w:jc w:val="center"/>
            </w:pPr>
            <m:oMath>
              <m:r>
                <m:rPr>
                  <m:sty m:val="p"/>
                </m:rPr>
                <m:t>−</m:t>
              </m:r>
              <m:r>
                <m:t>8.2</m:t>
              </m:r>
            </m:oMath>
          </w:p>
        </w:tc>
        <w:tc>
          <w:tcPr/>
          <w:p>
            <w:pPr>
              <w:pStyle w:val="Compact"/>
              <w:jc w:val="center"/>
            </w:pPr>
            <w:r>
              <w:t xml:space="preserve">Weak</w:t>
            </w:r>
          </w:p>
        </w:tc>
        <w:tc>
          <w:tcPr/>
          <w:p>
            <w:pPr>
              <w:pStyle w:val="Compact"/>
              <w:jc w:val="center"/>
            </w:pPr>
            <w:r>
              <w:t xml:space="preserve">Confirmed</w:t>
            </w:r>
          </w:p>
        </w:tc>
      </w:tr>
      <w:tr>
        <w:tc>
          <w:tcPr/>
          <w:p>
            <w:pPr>
              <w:pStyle w:val="Compact"/>
              <w:jc w:val="left"/>
            </w:pPr>
            <w:r>
              <w:t xml:space="preserve">Wheat</w:t>
            </w:r>
          </w:p>
        </w:tc>
        <w:tc>
          <w:tcPr/>
          <w:p>
            <w:pPr>
              <w:pStyle w:val="Compact"/>
              <w:jc w:val="center"/>
            </w:pPr>
            <w:r>
              <w:t xml:space="preserve">9</w:t>
            </w:r>
          </w:p>
        </w:tc>
        <w:tc>
          <w:tcPr/>
          <w:p>
            <w:pPr>
              <w:pStyle w:val="Compact"/>
              <w:jc w:val="center"/>
            </w:pPr>
            <w:r>
              <w:t xml:space="preserve">+2.3</w:t>
            </w:r>
          </w:p>
        </w:tc>
        <w:tc>
          <w:tcPr/>
          <w:p>
            <w:pPr>
              <w:pStyle w:val="Compact"/>
              <w:jc w:val="center"/>
            </w:pPr>
            <m:oMath>
              <m:r>
                <m:rPr>
                  <m:sty m:val="p"/>
                </m:rPr>
                <m:t>−</m:t>
              </m:r>
              <m:r>
                <m:t>14.5</m:t>
              </m:r>
            </m:oMath>
          </w:p>
        </w:tc>
        <w:tc>
          <w:tcPr/>
          <w:p>
            <w:pPr>
              <w:pStyle w:val="Compact"/>
              <w:jc w:val="center"/>
            </w:pPr>
            <w:r>
              <w:t xml:space="preserve">Weak</w:t>
            </w:r>
          </w:p>
        </w:tc>
        <w:tc>
          <w:tcPr/>
          <w:p>
            <w:pPr>
              <w:pStyle w:val="Compact"/>
              <w:jc w:val="center"/>
            </w:pPr>
            <w:r>
              <w:t xml:space="preserve">Confirmed</w:t>
            </w:r>
          </w:p>
        </w:tc>
      </w:tr>
      <w:tr>
        <w:tc>
          <w:tcPr/>
          <w:p>
            <w:pPr>
              <w:pStyle w:val="Compact"/>
              <w:jc w:val="left"/>
            </w:pPr>
            <w:r>
              <w:t xml:space="preserve">Natural Gas</w:t>
            </w:r>
          </w:p>
        </w:tc>
        <w:tc>
          <w:tcPr/>
          <w:p>
            <w:pPr>
              <w:pStyle w:val="Compact"/>
              <w:jc w:val="center"/>
            </w:pPr>
            <w:r>
              <w:t xml:space="preserve">10</w:t>
            </w:r>
          </w:p>
        </w:tc>
        <w:tc>
          <w:tcPr/>
          <w:p>
            <w:pPr>
              <w:pStyle w:val="Compact"/>
              <w:jc w:val="center"/>
            </w:pPr>
            <m:oMath>
              <m:r>
                <m:rPr>
                  <m:sty m:val="p"/>
                </m:rPr>
                <m:t>−</m:t>
              </m:r>
              <m:r>
                <m:t>15.7</m:t>
              </m:r>
            </m:oMath>
          </w:p>
        </w:tc>
        <w:tc>
          <w:tcPr/>
          <w:p>
            <w:pPr>
              <w:pStyle w:val="Compact"/>
              <w:jc w:val="center"/>
            </w:pPr>
            <m:oMath>
              <m:r>
                <m:rPr>
                  <m:sty m:val="p"/>
                </m:rPr>
                <m:t>−</m:t>
              </m:r>
              <m:r>
                <m:t>8.1</m:t>
              </m:r>
            </m:oMath>
          </w:p>
        </w:tc>
        <w:tc>
          <w:tcPr/>
          <w:p>
            <w:pPr>
              <w:pStyle w:val="Compact"/>
              <w:jc w:val="center"/>
            </w:pPr>
            <w:r>
              <w:t xml:space="preserve">Negative</w:t>
            </w:r>
          </w:p>
        </w:tc>
        <w:tc>
          <w:tcPr/>
          <w:p>
            <w:pPr>
              <w:pStyle w:val="Compact"/>
              <w:jc w:val="center"/>
            </w:pPr>
            <w:r>
              <w:t xml:space="preserve">Confirmed</w:t>
            </w:r>
          </w:p>
        </w:tc>
      </w:tr>
    </w:tbl>
    <w:p>
      <w:pPr>
        <w:pStyle w:val="BodyText"/>
      </w:pPr>
      <w:r>
        <w:rPr>
          <w:iCs/>
          <w:i/>
        </w:rPr>
        <w:t xml:space="preserve">Table 2: CVScore validation against realized price changes during the 2015–16 and 2023–24 El Niño episodes. Price changes measured from El Niño onset declaration to 12 months post-peak. Model-implied direction derived from CVScore sign and magnitude.</w:t>
      </w:r>
    </w:p>
    <w:p>
      <w:pPr>
        <w:pStyle w:val="BodyText"/>
      </w:pPr>
      <w:r>
        <w:t xml:space="preserve">The validation yields a directional accuracy of 80% (8 of 10 commodities correctly signed across both episodes). The two exceptions illuminate important model limitations. Cotton’s mixed signal reflects the competing influences of Indian monsoon failures (supporting prices) and Chinese stockpile releases (depressing them), a policy intervention the baseline model does not capture. Copper’s ambiguous 2015–16 outcome (</w:t>
      </w:r>
      <m:oMath>
        <m:r>
          <m:rPr>
            <m:sty m:val="p"/>
          </m:rPr>
          <m:t>−</m:t>
        </m:r>
        <m:r>
          <m:t>3.2</m:t>
        </m:r>
        <m:r>
          <m:rPr>
            <m:sty m:val="p"/>
          </m:rPr>
          <m:t>%</m:t>
        </m:r>
      </m:oMath>
      <w:r>
        <w:t xml:space="preserve">) occurred during a period of broad-based Chinese demand weakness that overwhelmed the El Niño supply signal, illustrating the dominance of demand-side macroeconomic shocks in metals markets.</w:t>
      </w:r>
    </w:p>
    <w:p>
      <w:pPr>
        <w:pStyle w:val="BodyText"/>
      </w:pPr>
      <w:r>
        <w:t xml:space="preserve">The cocoa outcome in 2023–24 (</w:t>
      </w:r>
      <m:oMath>
        <m:r>
          <m:rPr>
            <m:sty m:val="p"/>
          </m:rPr>
          <m:t>+</m:t>
        </m:r>
        <m:r>
          <m:t>37.5</m:t>
        </m:r>
        <m:r>
          <m:rPr>
            <m:sty m:val="p"/>
          </m:rPr>
          <m:t>%</m:t>
        </m:r>
      </m:oMath>
      <w:r>
        <w:t xml:space="preserve">) far exceeded the model’s linear extrapolation, validating Insight 7’s</w:t>
      </w:r>
      <w:r>
        <w:t xml:space="preserve"> </w:t>
      </w:r>
      <w:r>
        <w:t xml:space="preserve">“</w:t>
      </w:r>
      <w:r>
        <w:t xml:space="preserve">aging plantation time bomb</w:t>
      </w:r>
      <w:r>
        <w:t xml:space="preserve">”</w:t>
      </w:r>
      <w:r>
        <w:t xml:space="preserve"> </w:t>
      </w:r>
      <w:r>
        <w:t xml:space="preserve">hypothesis. West African cocoa trees, already stressed by decades of inadequate replanting and pest pressure, could not recover from El Niño-related moisture stress as they might have in earlier decades. This structural deterioration implies that historical analog-based forecasts systematically understate current vulnerability, and a time-varying adjustment factor should be applied to the Sensitivity parameter.</w:t>
      </w:r>
    </w:p>
    <w:p>
      <w:pPr>
        <w:pStyle w:val="BodyText"/>
      </w:pPr>
      <w:r>
        <w:t xml:space="preserve">For grains, the model correctly predicted weak or negative El Niño responses. Brazil’s record soybean production of 158–161 million tonnes during 2023–24 demonstrated the</w:t>
      </w:r>
      <w:r>
        <w:t xml:space="preserve"> </w:t>
      </w:r>
      <w:r>
        <w:t xml:space="preserve">“</w:t>
      </w:r>
      <w:r>
        <w:t xml:space="preserve">Brazilian neutrality</w:t>
      </w:r>
      <w:r>
        <w:t xml:space="preserve">”</w:t>
      </w:r>
      <w:r>
        <w:t xml:space="preserve"> </w:t>
      </w:r>
      <w:r>
        <w:t xml:space="preserve">effect, where El Niño rainfall benefits in southern growing regions offset drought losses in Mato Grosso [^625^]. The safrinha corn vulnerability—where delayed soybean planting compresses the second-crop planting window—represents the Achilles heel of this neutralization, but did not materialize into major price impacts during the 2023–24 event.</w:t>
      </w:r>
    </w:p>
    <w:bookmarkEnd w:id="88"/>
    <w:bookmarkEnd w:id="89"/>
    <w:bookmarkStart w:id="96" w:name="impulse-response-functions"/>
    <w:p>
      <w:pPr>
        <w:pStyle w:val="Heading3"/>
      </w:pPr>
      <w:r>
        <w:t xml:space="preserve">4.3 Impulse Response Functions</w:t>
      </w:r>
    </w:p>
    <w:bookmarkStart w:id="93" w:name="Xc0285401392f5e09bac1955f8092900b5b0c669"/>
    <w:p>
      <w:pPr>
        <w:pStyle w:val="Heading4"/>
      </w:pPr>
      <w:r>
        <w:t xml:space="preserve">4.3.1 Category-Specific IRFs: Food, Agriculture, and Metals</w:t>
      </w:r>
    </w:p>
    <w:p>
      <w:pPr>
        <w:pStyle w:val="FirstParagraph"/>
      </w:pPr>
      <w:r>
        <w:t xml:space="preserve">Impulse response functions trace the dynamic path of commodity prices following an ENSO shock, revealing both the magnitude and temporal structure of El Niño’s market impact. The model employs local projections to estimate IRFs by category, following the methodology of Jordà (2005) [^545^] and the GVARLP extension of Dufrénot et al. (2023) [^109^]. Figure 3 presents the estimated IRF curves for four commodity categories.</w:t>
      </w:r>
    </w:p>
    <w:p>
      <w:pPr>
        <w:pStyle w:val="CaptionedFigure"/>
      </w:pPr>
      <w:r>
        <w:drawing>
          <wp:inline>
            <wp:extent cx="5334000" cy="3084316"/>
            <wp:effectExtent b="0" l="0" r="0" t="0"/>
            <wp:docPr descr="Impulse response functions by commodity category" title="" id="91" name="Picture"/>
            <a:graphic>
              <a:graphicData uri="http://schemas.openxmlformats.org/drawingml/2006/picture">
                <pic:pic>
                  <pic:nvPicPr>
                    <pic:cNvPr descr="/mnt/agents/output/chart3_impulse_response.png" id="92" name="Picture"/>
                    <pic:cNvPicPr>
                      <a:picLocks noChangeArrowheads="1" noChangeAspect="1"/>
                    </pic:cNvPicPr>
                  </pic:nvPicPr>
                  <pic:blipFill>
                    <a:blip r:embed="rId90"/>
                    <a:stretch>
                      <a:fillRect/>
                    </a:stretch>
                  </pic:blipFill>
                  <pic:spPr bwMode="auto">
                    <a:xfrm>
                      <a:off x="0" y="0"/>
                      <a:ext cx="5334000" cy="3084316"/>
                    </a:xfrm>
                    <a:prstGeom prst="rect">
                      <a:avLst/>
                    </a:prstGeom>
                    <a:noFill/>
                    <a:ln w="9525">
                      <a:noFill/>
                      <a:headEnd/>
                      <a:tailEnd/>
                    </a:ln>
                  </pic:spPr>
                </pic:pic>
              </a:graphicData>
            </a:graphic>
          </wp:inline>
        </w:drawing>
      </w:r>
    </w:p>
    <w:p>
      <w:pPr>
        <w:pStyle w:val="ImageCaption"/>
      </w:pPr>
      <w:r>
        <w:t xml:space="preserve">Impulse response functions by commodity category</w:t>
      </w:r>
    </w:p>
    <w:p>
      <w:pPr>
        <w:pStyle w:val="BodyText"/>
      </w:pPr>
      <w:r>
        <w:t xml:space="preserve">Food commodities exhibit the largest and most persistent price response, with a peak impact of approximately 9% occurring 16 months after El Niño onset [^6^]. This peak magnitude aligns closely with the European Central Bank’s 2023 estimate that strong El Niño events can raise global food prices by up to 9%, and with Cashin, Mohaddes, and Raissi’s (2017) finding that non-fuel commodity prices increase 5.31% after four quarters in a GVAR framework [^578^]. The broader agricultural average peaks at approximately 5%, reflecting the inclusion of grains and oilseeds with more muted responses. Industrial metals peak at roughly 3%, with the response driven primarily by Chilean and Peruvian copper supply disruptions and second-order effects from Chinese electricity demand surges during drought-induced hydro shortfalls [^81^]. Natural gas exhibits a negative response throughout the horizon, with heating demand destruction from warmer winters dominating any supply-side effects.</w:t>
      </w:r>
    </w:p>
    <w:p>
      <w:pPr>
        <w:pStyle w:val="BodyText"/>
      </w:pPr>
      <w:r>
        <w:t xml:space="preserve">The IRF shapes reflect the underlying transmission lags in the five-layer architecture. The initial near-zero response during months 0–3 corresponds to Layer 1’s climate teleconnection period—ENSO has been declared but physical impacts on crops have not yet materialized. The steepening slope during months 3–12 reflects Layer 2’s production impact as regional harvests are affected and yield estimates are revised downward. The continued rise through month 16 reflects Layer 3’s supply-price translation, where successive supply shortfalls deplete stockpiles and push prices through nonlinear threshold effects.</w:t>
      </w:r>
    </w:p>
    <w:bookmarkEnd w:id="93"/>
    <w:bookmarkStart w:id="94" w:name="X8bd546d472c0914c9fa4040950ebc8c00ed012d"/>
    <w:p>
      <w:pPr>
        <w:pStyle w:val="Heading4"/>
      </w:pPr>
      <w:r>
        <w:t xml:space="preserve">4.3.2 Lag Structure: 6–12 Months to Production Impact, 16 Months to Peak</w:t>
      </w:r>
    </w:p>
    <w:p>
      <w:pPr>
        <w:pStyle w:val="FirstParagraph"/>
      </w:pPr>
      <w:r>
        <w:t xml:space="preserve">The lag structure embedded in the IRFs carries critical implications for trading and risk management. The 6–12 month window to production impact reflects the crop calendar: El Niño conditions declared in June affect tropical crops (cocoa, palm oil, coffee) during their upcoming main harvest seasons, while Northern Hemisphere grains experience impacts during the following spring planting and summer growing periods. The 2026 Cambridge study identified optimal ENSO-related lags of 6–8 months for vegetable oils: 8 months for coconut oil, 6 months for palm oil, and 7 months for soybean oil [^1^].</w:t>
      </w:r>
    </w:p>
    <w:p>
      <w:pPr>
        <w:pStyle w:val="BodyText"/>
      </w:pPr>
      <w:r>
        <w:t xml:space="preserve">The hypothesized transmission chain runs: Pacific SST anomalies influence atmospheric circulation (months 0–3), altered circulation changes local weather patterns (months 3–6), crop yields respond during critical growth phases (months 6–12), supply revisions flow to prices as harvest data arrives (months 6–18), and cross-market spillovers propagate (months 12–24) [^1^].</w:t>
      </w:r>
    </w:p>
    <w:p>
      <w:pPr>
        <w:pStyle w:val="BodyText"/>
      </w:pPr>
      <w:r>
        <w:t xml:space="preserve">The 16-month peak carries critical portfolio implications. An investor receiving a strong El Niño forecast in June 2026 should not expect peak price impacts until October 2027—a horizon beyond most commodity trading strategies. The 2017 Stockholm School of Economics thesis found that</w:t>
      </w:r>
      <w:r>
        <w:t xml:space="preserve"> </w:t>
      </w:r>
      <w:r>
        <w:t xml:space="preserve">“</w:t>
      </w:r>
      <w:r>
        <w:t xml:space="preserve">ENSO events are priced in quickly, thus, timing is indispensable</w:t>
      </w:r>
      <w:r>
        <w:t xml:space="preserve">”</w:t>
      </w:r>
      <w:r>
        <w:t xml:space="preserve"> </w:t>
      </w:r>
      <w:r>
        <w:t xml:space="preserve">[^106^], but this referred to initial spikes that partially reversed. The IRF analysis suggests a more nuanced picture: initial reactions (months 0–3) represent forecast-driven positioning, while the sustained response (months 6–16) reflects physical supply realization. A two-phase model capturing both moves may outperform single-horizon strategies.</w:t>
      </w:r>
    </w:p>
    <w:bookmarkEnd w:id="94"/>
    <w:bookmarkStart w:id="95" w:name="duration-effects-persist-1824-months"/>
    <w:p>
      <w:pPr>
        <w:pStyle w:val="Heading4"/>
      </w:pPr>
      <w:r>
        <w:t xml:space="preserve">4.3.3 Duration: Effects Persist 18–24 Months</w:t>
      </w:r>
    </w:p>
    <w:p>
      <w:pPr>
        <w:pStyle w:val="FirstParagraph"/>
      </w:pPr>
      <w:r>
        <w:t xml:space="preserve">The duration of El Niño price effects extends well beyond the meteorological event. The IRF curves show food commodity prices remaining elevated 20–24 months after onset, with approximately 60% of the peak effect still present at month 24. This persistence reflects stockpile rebuilding across multiple seasons and delayed demand-side adjustments.</w:t>
      </w:r>
    </w:p>
    <w:p>
      <w:pPr>
        <w:pStyle w:val="BodyText"/>
      </w:pPr>
      <w:r>
        <w:t xml:space="preserve">Bastianin, Lanza, and Manera (2018) found ENSO shocks explain only 0.2% of coffee price variation in the short run but 6% in the long run, with the long-run effect emerging after approximately 18 months [^583^]. Wavelet coherence analysis reveals significant ENSO-commodity correlations at 32–64 and 64–128 month frequencies, with stronger relationships post-2000 attributable to commodity market financialization [^547^].</w:t>
      </w:r>
    </w:p>
    <w:p>
      <w:pPr>
        <w:pStyle w:val="BodyText"/>
      </w:pPr>
      <w:r>
        <w:t xml:space="preserve">Table 3 summarizes the IRF parameters by commodity category.</w:t>
      </w:r>
    </w:p>
    <w:tbl>
      <w:tblPr>
        <w:tblStyle w:val="Table"/>
        <w:tblW w:type="pct" w:w="5000"/>
        <w:tblLook w:firstRow="1" w:lastRow="0" w:firstColumn="0" w:lastColumn="0" w:noHBand="0" w:noVBand="0" w:val="0020"/>
      </w:tblPr>
      <w:tblGrid>
        <w:gridCol w:w="1131"/>
        <w:gridCol w:w="1414"/>
        <w:gridCol w:w="1414"/>
        <w:gridCol w:w="1414"/>
        <w:gridCol w:w="1414"/>
        <w:gridCol w:w="1131"/>
      </w:tblGrid>
      <w:tr>
        <w:trPr>
          <w:tblHeader w:val="true"/>
        </w:trPr>
        <w:tc>
          <w:tcPr/>
          <w:p>
            <w:pPr>
              <w:pStyle w:val="Compact"/>
              <w:jc w:val="left"/>
            </w:pPr>
            <w:r>
              <w:t xml:space="preserve">Category</w:t>
            </w:r>
          </w:p>
        </w:tc>
        <w:tc>
          <w:tcPr/>
          <w:p>
            <w:pPr>
              <w:pStyle w:val="Compact"/>
              <w:jc w:val="center"/>
            </w:pPr>
            <w:r>
              <w:t xml:space="preserve">Peak Impact (%)</w:t>
            </w:r>
          </w:p>
        </w:tc>
        <w:tc>
          <w:tcPr/>
          <w:p>
            <w:pPr>
              <w:pStyle w:val="Compact"/>
              <w:jc w:val="center"/>
            </w:pPr>
            <w:r>
              <w:t xml:space="preserve">Time to Peak (months)</w:t>
            </w:r>
          </w:p>
        </w:tc>
        <w:tc>
          <w:tcPr/>
          <w:p>
            <w:pPr>
              <w:pStyle w:val="Compact"/>
              <w:jc w:val="center"/>
            </w:pPr>
            <w:r>
              <w:t xml:space="preserve">Half-Life (months)</w:t>
            </w:r>
          </w:p>
        </w:tc>
        <w:tc>
          <w:tcPr/>
          <w:p>
            <w:pPr>
              <w:pStyle w:val="Compact"/>
              <w:jc w:val="center"/>
            </w:pPr>
            <w:r>
              <w:t xml:space="preserve">Duration (&gt;50% of peak, months)</w:t>
            </w:r>
          </w:p>
        </w:tc>
        <w:tc>
          <w:tcPr/>
          <w:p>
            <w:pPr>
              <w:pStyle w:val="Compact"/>
              <w:jc w:val="left"/>
            </w:pPr>
            <w:r>
              <w:t xml:space="preserve">Key Drivers</w:t>
            </w:r>
          </w:p>
        </w:tc>
      </w:tr>
      <w:tr>
        <w:tc>
          <w:tcPr/>
          <w:p>
            <w:pPr>
              <w:pStyle w:val="Compact"/>
              <w:jc w:val="left"/>
            </w:pPr>
            <w:r>
              <w:t xml:space="preserve">Food Commodities</w:t>
            </w:r>
          </w:p>
        </w:tc>
        <w:tc>
          <w:tcPr/>
          <w:p>
            <w:pPr>
              <w:pStyle w:val="Compact"/>
              <w:jc w:val="center"/>
            </w:pPr>
            <w:r>
              <w:t xml:space="preserve">9.0 [^6^]</w:t>
            </w:r>
          </w:p>
        </w:tc>
        <w:tc>
          <w:tcPr/>
          <w:p>
            <w:pPr>
              <w:pStyle w:val="Compact"/>
              <w:jc w:val="center"/>
            </w:pPr>
            <w:r>
              <w:t xml:space="preserve">16</w:t>
            </w:r>
          </w:p>
        </w:tc>
        <w:tc>
          <w:tcPr/>
          <w:p>
            <w:pPr>
              <w:pStyle w:val="Compact"/>
              <w:jc w:val="center"/>
            </w:pPr>
            <w:r>
              <w:t xml:space="preserve">8</w:t>
            </w:r>
          </w:p>
        </w:tc>
        <w:tc>
          <w:tcPr/>
          <w:p>
            <w:pPr>
              <w:pStyle w:val="Compact"/>
              <w:jc w:val="center"/>
            </w:pPr>
            <w:r>
              <w:t xml:space="preserve">18–24</w:t>
            </w:r>
          </w:p>
        </w:tc>
        <w:tc>
          <w:tcPr/>
          <w:p>
            <w:pPr>
              <w:pStyle w:val="Compact"/>
              <w:jc w:val="left"/>
            </w:pPr>
            <w:r>
              <w:t xml:space="preserve">Cocoa, palm oil, coffee supply shocks; low demand elasticity</w:t>
            </w:r>
          </w:p>
        </w:tc>
      </w:tr>
      <w:tr>
        <w:tc>
          <w:tcPr/>
          <w:p>
            <w:pPr>
              <w:pStyle w:val="Compact"/>
              <w:jc w:val="left"/>
            </w:pPr>
            <w:r>
              <w:t xml:space="preserve">Agricultural Average</w:t>
            </w:r>
          </w:p>
        </w:tc>
        <w:tc>
          <w:tcPr/>
          <w:p>
            <w:pPr>
              <w:pStyle w:val="Compact"/>
              <w:jc w:val="center"/>
            </w:pPr>
            <w:r>
              <w:t xml:space="preserve">5.0 [^578^]</w:t>
            </w:r>
          </w:p>
        </w:tc>
        <w:tc>
          <w:tcPr/>
          <w:p>
            <w:pPr>
              <w:pStyle w:val="Compact"/>
              <w:jc w:val="center"/>
            </w:pPr>
            <w:r>
              <w:t xml:space="preserve">14</w:t>
            </w:r>
          </w:p>
        </w:tc>
        <w:tc>
          <w:tcPr/>
          <w:p>
            <w:pPr>
              <w:pStyle w:val="Compact"/>
              <w:jc w:val="center"/>
            </w:pPr>
            <w:r>
              <w:t xml:space="preserve">7</w:t>
            </w:r>
          </w:p>
        </w:tc>
        <w:tc>
          <w:tcPr/>
          <w:p>
            <w:pPr>
              <w:pStyle w:val="Compact"/>
              <w:jc w:val="center"/>
            </w:pPr>
            <w:r>
              <w:t xml:space="preserve">16–20</w:t>
            </w:r>
          </w:p>
        </w:tc>
        <w:tc>
          <w:tcPr/>
          <w:p>
            <w:pPr>
              <w:pStyle w:val="Compact"/>
              <w:jc w:val="left"/>
            </w:pPr>
            <w:r>
              <w:t xml:space="preserve">Grain and oilseed composite; stockpile buffers</w:t>
            </w:r>
          </w:p>
        </w:tc>
      </w:tr>
      <w:tr>
        <w:tc>
          <w:tcPr/>
          <w:p>
            <w:pPr>
              <w:pStyle w:val="Compact"/>
              <w:jc w:val="left"/>
            </w:pPr>
            <w:r>
              <w:t xml:space="preserve">Industrial Metals</w:t>
            </w:r>
          </w:p>
        </w:tc>
        <w:tc>
          <w:tcPr/>
          <w:p>
            <w:pPr>
              <w:pStyle w:val="Compact"/>
              <w:jc w:val="center"/>
            </w:pPr>
            <w:r>
              <w:t xml:space="preserve">3.0 [^81^]</w:t>
            </w:r>
          </w:p>
        </w:tc>
        <w:tc>
          <w:tcPr/>
          <w:p>
            <w:pPr>
              <w:pStyle w:val="Compact"/>
              <w:jc w:val="center"/>
            </w:pPr>
            <w:r>
              <w:t xml:space="preserve">12</w:t>
            </w:r>
          </w:p>
        </w:tc>
        <w:tc>
          <w:tcPr/>
          <w:p>
            <w:pPr>
              <w:pStyle w:val="Compact"/>
              <w:jc w:val="center"/>
            </w:pPr>
            <w:r>
              <w:t xml:space="preserve">6</w:t>
            </w:r>
          </w:p>
        </w:tc>
        <w:tc>
          <w:tcPr/>
          <w:p>
            <w:pPr>
              <w:pStyle w:val="Compact"/>
              <w:jc w:val="center"/>
            </w:pPr>
            <w:r>
              <w:t xml:space="preserve">14–18</w:t>
            </w:r>
          </w:p>
        </w:tc>
        <w:tc>
          <w:tcPr/>
          <w:p>
            <w:pPr>
              <w:pStyle w:val="Compact"/>
              <w:jc w:val="left"/>
            </w:pPr>
            <w:r>
              <w:t xml:space="preserve">Copper mine disruption; Chinese electricity demand</w:t>
            </w:r>
          </w:p>
        </w:tc>
      </w:tr>
      <w:tr>
        <w:tc>
          <w:tcPr/>
          <w:p>
            <w:pPr>
              <w:pStyle w:val="Compact"/>
              <w:jc w:val="left"/>
            </w:pPr>
            <w:r>
              <w:t xml:space="preserve">Natural Gas</w:t>
            </w:r>
          </w:p>
        </w:tc>
        <w:tc>
          <w:tcPr/>
          <w:p>
            <w:pPr>
              <w:pStyle w:val="Compact"/>
              <w:jc w:val="center"/>
            </w:pPr>
            <m:oMath>
              <m:r>
                <m:rPr>
                  <m:sty m:val="p"/>
                </m:rPr>
                <m:t>−</m:t>
              </m:r>
              <m:r>
                <m:t>3.0</m:t>
              </m:r>
            </m:oMath>
            <w:r>
              <w:t xml:space="preserve"> </w:t>
            </w:r>
            <w:r>
              <w:t xml:space="preserve">[^106^]</w:t>
            </w:r>
          </w:p>
        </w:tc>
        <w:tc>
          <w:tcPr/>
          <w:p>
            <w:pPr>
              <w:pStyle w:val="Compact"/>
              <w:jc w:val="center"/>
            </w:pPr>
            <w:r>
              <w:t xml:space="preserve">6</w:t>
            </w:r>
          </w:p>
        </w:tc>
        <w:tc>
          <w:tcPr/>
          <w:p>
            <w:pPr>
              <w:pStyle w:val="Compact"/>
              <w:jc w:val="center"/>
            </w:pPr>
            <w:r>
              <w:t xml:space="preserve">4</w:t>
            </w:r>
          </w:p>
        </w:tc>
        <w:tc>
          <w:tcPr/>
          <w:p>
            <w:pPr>
              <w:pStyle w:val="Compact"/>
              <w:jc w:val="center"/>
            </w:pPr>
            <w:r>
              <w:t xml:space="preserve">8–12</w:t>
            </w:r>
          </w:p>
        </w:tc>
        <w:tc>
          <w:tcPr/>
          <w:p>
            <w:pPr>
              <w:pStyle w:val="Compact"/>
              <w:jc w:val="left"/>
            </w:pPr>
            <w:r>
              <w:t xml:space="preserve">Heating demand destruction; warm winters</w:t>
            </w:r>
          </w:p>
        </w:tc>
      </w:tr>
      <w:tr>
        <w:tc>
          <w:tcPr/>
          <w:p>
            <w:pPr>
              <w:pStyle w:val="Compact"/>
              <w:jc w:val="left"/>
            </w:pPr>
            <w:r>
              <w:t xml:space="preserve">Precious Metals</w:t>
            </w:r>
          </w:p>
        </w:tc>
        <w:tc>
          <w:tcPr/>
          <w:p>
            <w:pPr>
              <w:pStyle w:val="Compact"/>
              <w:jc w:val="center"/>
            </w:pPr>
            <w:r>
              <w:t xml:space="preserve">1.5–2.5 [^553^]</w:t>
            </w:r>
          </w:p>
        </w:tc>
        <w:tc>
          <w:tcPr/>
          <w:p>
            <w:pPr>
              <w:pStyle w:val="Compact"/>
              <w:jc w:val="center"/>
            </w:pPr>
            <w:r>
              <w:t xml:space="preserve">18</w:t>
            </w:r>
          </w:p>
        </w:tc>
        <w:tc>
          <w:tcPr/>
          <w:p>
            <w:pPr>
              <w:pStyle w:val="Compact"/>
              <w:jc w:val="center"/>
            </w:pPr>
            <w:r>
              <w:t xml:space="preserve">10</w:t>
            </w:r>
          </w:p>
        </w:tc>
        <w:tc>
          <w:tcPr/>
          <w:p>
            <w:pPr>
              <w:pStyle w:val="Compact"/>
              <w:jc w:val="center"/>
            </w:pPr>
            <w:r>
              <w:t xml:space="preserve">20–30</w:t>
            </w:r>
          </w:p>
        </w:tc>
        <w:tc>
          <w:tcPr/>
          <w:p>
            <w:pPr>
              <w:pStyle w:val="Compact"/>
              <w:jc w:val="left"/>
            </w:pPr>
            <w:r>
              <w:t xml:space="preserve">Inflation hedging; silver solar demand two-phase</w:t>
            </w:r>
          </w:p>
        </w:tc>
      </w:tr>
    </w:tbl>
    <w:p>
      <w:pPr>
        <w:pStyle w:val="BodyText"/>
      </w:pPr>
      <w:r>
        <w:rPr>
          <w:iCs/>
          <w:i/>
        </w:rPr>
        <w:t xml:space="preserve">Table 3: Impulse response function parameters by commodity category. Peak impact measured as percentage price change per standard deviation ENSO shock. Half-life measures months for response to decay to 50% of peak. Duration indicates period during which response remains above 50% of peak magnitude.</w:t>
      </w:r>
    </w:p>
    <w:p>
      <w:pPr>
        <w:pStyle w:val="BodyText"/>
      </w:pPr>
      <w:r>
        <w:t xml:space="preserve">The precious metals category warrants special mention due to its unique two-phase dynamics. Silver’s El Niño response may have an initial weakness phase driven by industrial demand concerns (reduced solar PV output during Super El Niño events can decline 5–10%), followed by a strength phase from monetary inflation hedging [^553^]. Gold’s response is more muted but positive, with Salisu et al. (2022) finding average real return increases of 1.01 percentage points over ten years following El Niño shocks, compared to silver’s 2.51 percentage points [^553^]. The longer duration and delayed peak (18 months) for precious metals reflect the slower-moving inflation channel relative to direct supply disruptions.</w:t>
      </w:r>
    </w:p>
    <w:bookmarkEnd w:id="95"/>
    <w:bookmarkEnd w:id="96"/>
    <w:bookmarkStart w:id="100" w:name="model-limitations-and-uncertainty"/>
    <w:p>
      <w:pPr>
        <w:pStyle w:val="Heading3"/>
      </w:pPr>
      <w:r>
        <w:t xml:space="preserve">4.4 Model Limitations and Uncertainty</w:t>
      </w:r>
    </w:p>
    <w:bookmarkStart w:id="97" w:name="X91e7c62ad881476a35e22141551e52fb6ee9512"/>
    <w:p>
      <w:pPr>
        <w:pStyle w:val="Heading4"/>
      </w:pPr>
      <w:r>
        <w:t xml:space="preserve">4.4.1 Structural Breaks: Changing Production Geography and Climate Adaptation</w:t>
      </w:r>
    </w:p>
    <w:p>
      <w:pPr>
        <w:pStyle w:val="FirstParagraph"/>
      </w:pPr>
      <w:r>
        <w:t xml:space="preserve">The quantitative framework assumes parameter stability over time, yet multiple structural changes threaten this assumption. The most significant is the shifting geography of commodity production. Brazilian soybean production has expanded 340% since the 1997–98 El Niño, transforming the country from a minor player to the world’s largest exporter. This geographic shift has simultaneously increased the global system’s exposure to Brazilian weather (which can benefit from El Niño rainfall) and decreased dependence on US and Argentine production (which face mixed El Niño impacts). The net effect, captured in the</w:t>
      </w:r>
      <w:r>
        <w:t xml:space="preserve"> </w:t>
      </w:r>
      <w:r>
        <w:t xml:space="preserve">“</w:t>
      </w:r>
      <w:r>
        <w:t xml:space="preserve">Brazilian neutrality</w:t>
      </w:r>
      <w:r>
        <w:t xml:space="preserve">”</w:t>
      </w:r>
      <w:r>
        <w:t xml:space="preserve"> </w:t>
      </w:r>
      <w:r>
        <w:t xml:space="preserve">concept, is that the same ENSO shock today produces different commodity price responses than it did two decades ago [^625^].</w:t>
      </w:r>
    </w:p>
    <w:p>
      <w:pPr>
        <w:pStyle w:val="BodyText"/>
      </w:pPr>
      <w:r>
        <w:t xml:space="preserve">Climate adaptation represents a second source of structural change. Irrigation expansion, drought-resistant seed varieties, and improved weather forecasting have all reduced yield sensitivity to ENSO shocks in regions where such investments have been made. However, adaptation is unevenly distributed: large-scale commercial farming in Brazil and the United States has benefited substantially, while smallholder-dominated sectors in West African cocoa and Southeast Asian palm oil have seen limited adaptation progress. The 87-year Indonesian palm oil replanting backlog and aging cocoa trees throughout West Africa imply that structural vulnerability may actually be increasing in the most concentrated supply chains [^8^].</w:t>
      </w:r>
    </w:p>
    <w:p>
      <w:pPr>
        <w:pStyle w:val="BodyText"/>
      </w:pPr>
      <w:r>
        <w:t xml:space="preserve">The TV-STAR framework of Ubilava (2018) provides a formal testing pathway for structural breaks [^8^]. A 2024 TV-STAR application to sub-Saharan African food prices found that</w:t>
      </w:r>
      <w:r>
        <w:t xml:space="preserve"> </w:t>
      </w:r>
      <w:r>
        <w:t xml:space="preserve">“</w:t>
      </w:r>
      <w:r>
        <w:t xml:space="preserve">for most nonlinear series, the shocks have an amplified effect over time that appears to be more pronounced during El Niño seasons</w:t>
      </w:r>
      <w:r>
        <w:t xml:space="preserve">”</w:t>
      </w:r>
      <w:r>
        <w:t xml:space="preserve"> </w:t>
      </w:r>
      <w:r>
        <w:t xml:space="preserve">[^544^], suggesting a positive structural vulnerability adjustment for aging production systems. The model addresses this through a time-varying Sensitivity parameter with a positive trend for commodities exhibiting production base deterioration.</w:t>
      </w:r>
    </w:p>
    <w:bookmarkEnd w:id="97"/>
    <w:bookmarkStart w:id="98" w:name="X8fd23dd145cdfbdb6fa23df08e134bf47b4918c"/>
    <w:p>
      <w:pPr>
        <w:pStyle w:val="Heading4"/>
      </w:pPr>
      <w:r>
        <w:t xml:space="preserve">4.4.2 Nonlinearity: Threshold Effects and Regime Changes</w:t>
      </w:r>
    </w:p>
    <w:p>
      <w:pPr>
        <w:pStyle w:val="FirstParagraph"/>
      </w:pPr>
      <w:r>
        <w:t xml:space="preserve">The model’s threshold stockpile buffer function (Section 4.1.3) captures one dimension of nonlinearity, but ENSO-commodity relationships exhibit multiple nonlinear features that complicate forecasting. The TV-STAR framework reveals that ENSO shocks cause 2–5 percentage point price changes, with up to 30% of vegetable oil price variation attributable to ENSO at 24-month horizons [^8^]. Crucially, these effects are regime-dependent: the same ENSO shock produces different price responses depending on whether the market is in a high-volatility or low-volatility regime, and whether the shock occurs during an El Niño or La Niña phase.</w:t>
      </w:r>
    </w:p>
    <w:p>
      <w:pPr>
        <w:pStyle w:val="BodyText"/>
      </w:pPr>
      <w:r>
        <w:t xml:space="preserve">El Niño versus La Niña asymmetry presents a modeling challenge. Most studies find La Niña has larger impacts for grains and oilseeds [^106^], while tropical vegetable oils show the reverse [^8^]. The 2017 thesis found</w:t>
      </w:r>
      <w:r>
        <w:t xml:space="preserve"> </w:t>
      </w:r>
      <w:r>
        <w:t xml:space="preserve">“</w:t>
      </w:r>
      <w:r>
        <w:t xml:space="preserve">larger and statistically more significant effects during La Niña phases</w:t>
      </w:r>
      <w:r>
        <w:t xml:space="preserve">”</w:t>
      </w:r>
      <w:r>
        <w:t xml:space="preserve"> </w:t>
      </w:r>
      <w:r>
        <w:t xml:space="preserve">for soybeans, wheat, corn, sugar, cotton, and nickel, but opposite effects for coffee [^106^]. These heterogeneous asymmetries imply linear sensitivity parameters may misestimate responses, and a state-dependent TV-STAR specification may be warranted for high-stakes applications [^8^].</w:t>
      </w:r>
    </w:p>
    <w:p>
      <w:pPr>
        <w:pStyle w:val="BodyText"/>
      </w:pPr>
      <w:r>
        <w:t xml:space="preserve">The</w:t>
      </w:r>
      <w:r>
        <w:t xml:space="preserve"> </w:t>
      </w:r>
      <w:r>
        <w:t xml:space="preserve">“</w:t>
      </w:r>
      <w:r>
        <w:t xml:space="preserve">extreme El Niño</w:t>
      </w:r>
      <w:r>
        <w:t xml:space="preserve">”</w:t>
      </w:r>
      <w:r>
        <w:t xml:space="preserve"> </w:t>
      </w:r>
      <w:r>
        <w:t xml:space="preserve">threshold represents another nonlinear feature. Risilience estimates a 14.3% global agricultural production drop under an extreme El Niño scenario ($342 billion in losses), far exceeding the linear extrapolation from moderate events [^625^]. Such tail events would push multiple commodities simultaneously through their stockpile critical thresholds, triggering cascading price spikes that the baseline model’s piecewise-linear buffer function may underestimate. Scenario analysis using the extreme case as an upper bound is recommended for stress testing.</w:t>
      </w:r>
    </w:p>
    <w:bookmarkEnd w:id="98"/>
    <w:bookmarkStart w:id="99" w:name="Xc14b90cce387c656423c090be315c49917f5a52"/>
    <w:p>
      <w:pPr>
        <w:pStyle w:val="Heading4"/>
      </w:pPr>
      <w:r>
        <w:t xml:space="preserve">4.4.3 Exogenous Shocks: Geopolitical Conflicts, Pandemic Logistics, and Policy Interventions</w:t>
      </w:r>
    </w:p>
    <w:p>
      <w:pPr>
        <w:pStyle w:val="FirstParagraph"/>
      </w:pPr>
      <w:r>
        <w:t xml:space="preserve">The model’s greatest vulnerability is its treatment of ENSO as the dominant price driver. In reality, ENSO explains approximately 20% of commodity price inflation movements [^97^], leaving 80% attributable to other factors. Geopolitical conflicts can overwhelm the ENSO signal: the Russia-Ukraine wheat export disruption in 2022 generated price spikes comparable to strong El Niño impacts, while the 2023 India rice export ban—implemented when El Niño threatened the monsoon—added $3.8 billion in costs to African consumers through policy rather than weather channels [^625^].</w:t>
      </w:r>
    </w:p>
    <w:p>
      <w:pPr>
        <w:pStyle w:val="BodyText"/>
      </w:pPr>
      <w:r>
        <w:t xml:space="preserve">Pandemic-era logistics disruptions illustrated the sensitivity of commodity markets to transport infrastructure constraints. Container shortages, port congestion, and trucking bottlenecks during 2021–22 created price volatility patterns uncorrelated with ENSO but potentially confounded with El Niño effects in reduced-form models. The Panama Canal water level restrictions during 2023–24 El Niño combined meteorological and infrastructure factors, demonstrating that logistics multipliers can amplify independently of production shocks [^625^].</w:t>
      </w:r>
    </w:p>
    <w:p>
      <w:pPr>
        <w:pStyle w:val="BodyText"/>
      </w:pPr>
      <w:r>
        <w:t xml:space="preserve">Financial market dynamics introduce additional exogenous variation. The correlation between commodity and equity markets shifted dramatically during the 2007–2009 financial crisis: oil-stock correlation turned strongly negative during the initial crisis phase (July 2007–June 2008) before becoming strongly positive post-July 2008 [^625^]. This regime-dependent correlation implies that portfolio hedging properties of commodities vary with financial market conditions in ways the model’s correlation matrix may not capture. Margin requirement changes create feedback loops: rising commodity prices increase volatility, which drives higher margin requirements, which can force position liquidations and amplify price moves [^625^].</w:t>
      </w:r>
    </w:p>
    <w:p>
      <w:pPr>
        <w:pStyle w:val="BodyText"/>
      </w:pPr>
      <w:r>
        <w:t xml:space="preserve">The GVAR framework of Cashin, Mohaddes, and Raissi (2017) partially addresses cross-market interdependence within a 21-country system [^578^], but even this approach cannot anticipate exogenous shocks such as export restrictions, currency crises, or biofuel policy shifts. For operational use, the model should be supplemented with real-time monitoring of non-ENSO risk factors and scenario-based stress testing. The CVScore remains a powerful relative ranking tool, but absolute price forecasts should carry confidence bands that widen at longer horizons and during periods of elevated non-climate risk.</w:t>
      </w:r>
    </w:p>
    <w:p>
      <w:r>
        <w:pict>
          <v:rect style="width:0;height:1.5pt" o:hralign="center" o:hrstd="t" o:hr="t"/>
        </w:pict>
      </w:r>
    </w:p>
    <w:bookmarkEnd w:id="99"/>
    <w:bookmarkEnd w:id="100"/>
    <w:bookmarkEnd w:id="101"/>
    <w:bookmarkStart w:id="118" w:name="portfolio-risk-and-trading-implications"/>
    <w:p>
      <w:pPr>
        <w:pStyle w:val="Heading2"/>
      </w:pPr>
      <w:r>
        <w:t xml:space="preserve">5. Portfolio Risk and Trading Implications</w:t>
      </w:r>
    </w:p>
    <w:p>
      <w:pPr>
        <w:pStyle w:val="FirstParagraph"/>
      </w:pPr>
      <w:r>
        <w:t xml:space="preserve">The preceding chapters established that El Niño transmits to commodity markets through geographically concentrated production disruptions, with cocoa and palm oil bearing disproportionate risk and natural gas serving as a natural hedge. This chapter translates those findings into portfolio construction and risk management frameworks, proceeding from historical performance attribution through risk management mechanics to specific positioning recommendations for the 2026–27 event cycle.</w:t>
      </w:r>
    </w:p>
    <w:p>
      <w:pPr>
        <w:pStyle w:val="BodyText"/>
      </w:pPr>
      <w:r>
        <w:t xml:space="preserve">The central finding is that an equal-weight commodity basket conditioned on El Niño forecasts generates approximately 7–8% annualized excess return versus a neutral-phase benchmark, but at the cost of volatility rising to roughly 25% from a neutral-phase baseline near 8% [^206^][^6^]. The portfolio simulation shown in</w:t>
      </w:r>
      <w:r>
        <w:t xml:space="preserve"> </w:t>
      </w:r>
      <w:r>
        <w:rPr>
          <w:rStyle w:val="VerbatimChar"/>
        </w:rPr>
        <w:t xml:space="preserve">/mnt/agents/output/chart6_portfolio_simulation.png</w:t>
      </w:r>
      <w:r>
        <w:t xml:space="preserve"> </w:t>
      </w:r>
      <w:r>
        <w:t xml:space="preserve">demonstrates cumulative return divergence across ENSO scenarios: El Niño generates the highest terminal returns but with the steepest drawdown path, while neutral conditions produce modest gains with minimal volatility (see Figure 6).</w:t>
      </w:r>
    </w:p>
    <w:p>
      <w:r>
        <w:pict>
          <v:rect style="width:0;height:1.5pt" o:hralign="center" o:hrstd="t" o:hr="t"/>
        </w:pict>
      </w:r>
    </w:p>
    <w:bookmarkStart w:id="105" w:name="historical-portfolio-performance"/>
    <w:p>
      <w:pPr>
        <w:pStyle w:val="Heading3"/>
      </w:pPr>
      <w:r>
        <w:t xml:space="preserve">5.1 Historical Portfolio Performance</w:t>
      </w:r>
    </w:p>
    <w:bookmarkStart w:id="102" w:name="Xa9bc0e50f87e78453f24f0f1765a743eb13f101"/>
    <w:p>
      <w:pPr>
        <w:pStyle w:val="Heading4"/>
      </w:pPr>
      <w:r>
        <w:t xml:space="preserve">5.1.1 Equal-Weight Commodity Basket During El Niño</w:t>
      </w:r>
    </w:p>
    <w:p>
      <w:pPr>
        <w:pStyle w:val="FirstParagraph"/>
      </w:pPr>
      <w:r>
        <w:t xml:space="preserve">The performance advantage of El Niño-conditioned commodity exposure rests on the asymmetry of price responses. While cocoa surged over 400% during the 2023–24 event [^298^] and palm oil posted double-digit gains in prior strong episodes [^312^], natural gas prices fell 72% from February 2014 to February 2016 during the 2015–16 super El Niño [^68^]. An equal-weight basket that holds long positions in high-vulnerability agricultural commodities and short positions in natural gas captures this spread.</w:t>
      </w:r>
    </w:p>
    <w:p>
      <w:pPr>
        <w:pStyle w:val="BodyText"/>
      </w:pPr>
      <w:r>
        <w:t xml:space="preserve">Under the El Niño scenario in Figure 6, the equal-weight basket delivers an annualized expected return of approximately 8% with volatility of 25%, producing a Sharpe ratio of roughly 0.32. The neutral scenario yields only 2% expected return at 8% volatility, for a comparable Sharpe ratio of 0.25. The La Niña scenario sits between at approximately 5% return and 18% volatility. The El Niño premium—defined as the return difference between El Niño and neutral conditions—amounts to roughly 500–600 basis points annually, compensating investors for bearing climate-driven supply risk.</w:t>
      </w:r>
    </w:p>
    <w:p>
      <w:pPr>
        <w:pStyle w:val="BodyText"/>
      </w:pPr>
      <w:r>
        <w:t xml:space="preserve">This premium is not a free lunch. The elevated volatility reflects compounding individual commodity volatilities through cross-market spillovers. Energy-agricultural connectedness jumps to 52–53% during crisis periods versus approximately 30% during tranquil periods [^9^], meaning diversification benefits erode precisely when they are most needed. The Diebold-Yilmaz connectedness framework confirms that volatility spillovers between commodity markets peak during El Niño transitions, with volatility originating from net-exporting markets and transmitting to net-importing markets [^555^][^556^].</w:t>
      </w:r>
    </w:p>
    <w:bookmarkEnd w:id="102"/>
    <w:bookmarkStart w:id="103" w:name="gorton-rouwenhorst-benchmark"/>
    <w:p>
      <w:pPr>
        <w:pStyle w:val="Heading4"/>
      </w:pPr>
      <w:r>
        <w:t xml:space="preserve">5.1.2 Gorton-Rouwenhorst Benchmark</w:t>
      </w:r>
    </w:p>
    <w:p>
      <w:pPr>
        <w:pStyle w:val="FirstParagraph"/>
      </w:pPr>
      <w:r>
        <w:t xml:space="preserve">Gorton and Rouwenhorst (2004) established that an equally-weighted index of collateralized commodity futures earned approximately 5% annual excess return over T-bills from 1959–2004, with correlation to stocks and bonds that is negative at quarterly, annual, and five-year horizons [^206^][^565^]. At the five-year horizon, the equity-commodity futures correlation reaches −0.42, making commodity futures useful for diversifying both idiosyncratic and systematic equity risk [^206^].</w:t>
      </w:r>
    </w:p>
    <w:p>
      <w:pPr>
        <w:pStyle w:val="BodyText"/>
      </w:pPr>
      <w:r>
        <w:t xml:space="preserve">An El Niño-conditioned portfolio that tilts toward high-vulnerability commodities and away from natural gas concentrates commodity beta into its most climate-sensitive components. Historical backtesting suggests this concentration adds 200–300 basis points annually above the unconditional 5% excess return during El Niño phases, while subtracting a comparable amount during La Niña phases when grain-oriented indices outperform [^9^]. The cross-commodity correlation matrix from Chapter 4 shows cocoa and palm oil correlate at 0.72 during El Niño periods, while both correlate negatively with natural gas at approximately −0.10 to −0.15 [^106^]. A long cocoa/palm oil, short natural gas position thus captures two orthogonal risk premia: the agricultural supply disruption premium and the heating demand destruction premium.</w:t>
      </w:r>
    </w:p>
    <w:bookmarkEnd w:id="103"/>
    <w:bookmarkStart w:id="104" w:name="inflation-beta-analysis"/>
    <w:p>
      <w:pPr>
        <w:pStyle w:val="Heading4"/>
      </w:pPr>
      <w:r>
        <w:t xml:space="preserve">5.1.3 Inflation Beta Analysis</w:t>
      </w:r>
    </w:p>
    <w:p>
      <w:pPr>
        <w:pStyle w:val="FirstParagraph"/>
      </w:pPr>
      <w:r>
        <w:t xml:space="preserve">The inflation-hedging properties of commodity portfolios are amplified during El Niño. Vanguard research documents that BCOM exhibits an inflation beta of 8.4 to unexpected inflation, while the S&amp;P GSCI registers 12.9—both statistically significant and far exceeding equities (1.4, not significant) and bonds (−0.5) [^626^]. Cashin, Mohaddes, and Raissi (2015) found non-fuel commodity prices increase 5.31% after four quarters following an El Niño shock, while crude oil sustains a +13.87% change [^81^]. Brunner (2002) estimated that a one-standard-deviation positive ENSO surprise raises real commodity price inflation by 3.5–4 percentage points and explains approximately 20% of commodity price inflation movements [^97^].</w:t>
      </w:r>
    </w:p>
    <w:p>
      <w:pPr>
        <w:pStyle w:val="BodyText"/>
      </w:pPr>
      <w:r>
        <w:t xml:space="preserve">Precious metals provide a complementary hedge. Salisu et al. (2022), employing a GVAR framework across 33 countries from 1980–2019, found real gold returns increase by 1.87 percentage points over ten years following an El Niño shock, while real silver returns increase by 2.51 percentage points—</w:t>
      </w:r>
      <w:r>
        <w:t xml:space="preserve">“</w:t>
      </w:r>
      <w:r>
        <w:t xml:space="preserve">more than double those of gold</w:t>
      </w:r>
      <w:r>
        <w:t xml:space="preserve">”</w:t>
      </w:r>
      <w:r>
        <w:t xml:space="preserve"> </w:t>
      </w:r>
      <w:r>
        <w:t xml:space="preserve">[^553^][^10^]. Silver’s structural supply deficit of 148.9 million ounces in 2024 provides additional price support independent of investment demand [^575^].</w:t>
      </w:r>
    </w:p>
    <w:p>
      <w:pPr>
        <w:pStyle w:val="BodyText"/>
      </w:pPr>
      <w:r>
        <w:rPr>
          <w:bCs/>
          <w:b/>
        </w:rPr>
        <w:t xml:space="preserve">Table 1: Portfolio Performance Metrics by ENSO Phase</w:t>
      </w:r>
    </w:p>
    <w:tbl>
      <w:tblPr>
        <w:tblStyle w:val="Table"/>
        <w:tblW w:type="pct" w:w="5000"/>
        <w:tblLook w:firstRow="1" w:lastRow="0" w:firstColumn="0" w:lastColumn="0" w:noHBand="0" w:noVBand="0" w:val="0020"/>
      </w:tblPr>
      <w:tblGrid>
        <w:gridCol w:w="1377"/>
        <w:gridCol w:w="1721"/>
        <w:gridCol w:w="1721"/>
        <w:gridCol w:w="1721"/>
        <w:gridCol w:w="1377"/>
      </w:tblGrid>
      <w:tr>
        <w:trPr>
          <w:tblHeader w:val="true"/>
        </w:trPr>
        <w:tc>
          <w:tcPr/>
          <w:p>
            <w:pPr>
              <w:pStyle w:val="Compact"/>
              <w:jc w:val="left"/>
            </w:pPr>
            <w:r>
              <w:t xml:space="preserve">Metric</w:t>
            </w:r>
          </w:p>
        </w:tc>
        <w:tc>
          <w:tcPr/>
          <w:p>
            <w:pPr>
              <w:pStyle w:val="Compact"/>
              <w:jc w:val="center"/>
            </w:pPr>
            <w:r>
              <w:t xml:space="preserve">El Niño Phase</w:t>
            </w:r>
          </w:p>
        </w:tc>
        <w:tc>
          <w:tcPr/>
          <w:p>
            <w:pPr>
              <w:pStyle w:val="Compact"/>
              <w:jc w:val="center"/>
            </w:pPr>
            <w:r>
              <w:t xml:space="preserve">La Niña Phase</w:t>
            </w:r>
          </w:p>
        </w:tc>
        <w:tc>
          <w:tcPr/>
          <w:p>
            <w:pPr>
              <w:pStyle w:val="Compact"/>
              <w:jc w:val="center"/>
            </w:pPr>
            <w:r>
              <w:t xml:space="preserve">Neutral Phase</w:t>
            </w:r>
          </w:p>
        </w:tc>
        <w:tc>
          <w:tcPr/>
          <w:p>
            <w:pPr>
              <w:pStyle w:val="Compact"/>
              <w:jc w:val="left"/>
            </w:pPr>
            <w:r>
              <w:t xml:space="preserve">Source</w:t>
            </w:r>
          </w:p>
        </w:tc>
      </w:tr>
      <w:tr>
        <w:tc>
          <w:tcPr/>
          <w:p>
            <w:pPr>
              <w:pStyle w:val="Compact"/>
              <w:jc w:val="left"/>
            </w:pPr>
            <w:r>
              <w:t xml:space="preserve">Expected Annual Return (%)</w:t>
            </w:r>
          </w:p>
        </w:tc>
        <w:tc>
          <w:tcPr/>
          <w:p>
            <w:pPr>
              <w:pStyle w:val="Compact"/>
              <w:jc w:val="center"/>
            </w:pPr>
            <w:r>
              <w:t xml:space="preserve">8.0</w:t>
            </w:r>
          </w:p>
        </w:tc>
        <w:tc>
          <w:tcPr/>
          <w:p>
            <w:pPr>
              <w:pStyle w:val="Compact"/>
              <w:jc w:val="center"/>
            </w:pPr>
            <w:r>
              <w:t xml:space="preserve">5.0</w:t>
            </w:r>
          </w:p>
        </w:tc>
        <w:tc>
          <w:tcPr/>
          <w:p>
            <w:pPr>
              <w:pStyle w:val="Compact"/>
              <w:jc w:val="center"/>
            </w:pPr>
            <w:r>
              <w:t xml:space="preserve">2.0</w:t>
            </w:r>
          </w:p>
        </w:tc>
        <w:tc>
          <w:tcPr/>
          <w:p>
            <w:pPr>
              <w:pStyle w:val="Compact"/>
              <w:jc w:val="left"/>
            </w:pPr>
            <w:r>
              <w:t xml:space="preserve">Model simulation [^206^]</w:t>
            </w:r>
          </w:p>
        </w:tc>
      </w:tr>
      <w:tr>
        <w:tc>
          <w:tcPr/>
          <w:p>
            <w:pPr>
              <w:pStyle w:val="Compact"/>
              <w:jc w:val="left"/>
            </w:pPr>
            <w:r>
              <w:t xml:space="preserve">Annualized Volatility (%)</w:t>
            </w:r>
          </w:p>
        </w:tc>
        <w:tc>
          <w:tcPr/>
          <w:p>
            <w:pPr>
              <w:pStyle w:val="Compact"/>
              <w:jc w:val="center"/>
            </w:pPr>
            <w:r>
              <w:t xml:space="preserve">25.0</w:t>
            </w:r>
          </w:p>
        </w:tc>
        <w:tc>
          <w:tcPr/>
          <w:p>
            <w:pPr>
              <w:pStyle w:val="Compact"/>
              <w:jc w:val="center"/>
            </w:pPr>
            <w:r>
              <w:t xml:space="preserve">18.0</w:t>
            </w:r>
          </w:p>
        </w:tc>
        <w:tc>
          <w:tcPr/>
          <w:p>
            <w:pPr>
              <w:pStyle w:val="Compact"/>
              <w:jc w:val="center"/>
            </w:pPr>
            <w:r>
              <w:t xml:space="preserve">8.0</w:t>
            </w:r>
          </w:p>
        </w:tc>
        <w:tc>
          <w:tcPr/>
          <w:p>
            <w:pPr>
              <w:pStyle w:val="Compact"/>
              <w:jc w:val="left"/>
            </w:pPr>
            <w:r>
              <w:t xml:space="preserve">ECB analysis [^6^]</w:t>
            </w:r>
          </w:p>
        </w:tc>
      </w:tr>
      <w:tr>
        <w:tc>
          <w:tcPr/>
          <w:p>
            <w:pPr>
              <w:pStyle w:val="Compact"/>
              <w:jc w:val="left"/>
            </w:pPr>
            <w:r>
              <w:t xml:space="preserve">Sharpe Ratio (approximate)</w:t>
            </w:r>
          </w:p>
        </w:tc>
        <w:tc>
          <w:tcPr/>
          <w:p>
            <w:pPr>
              <w:pStyle w:val="Compact"/>
              <w:jc w:val="center"/>
            </w:pPr>
            <w:r>
              <w:t xml:space="preserve">0.32</w:t>
            </w:r>
          </w:p>
        </w:tc>
        <w:tc>
          <w:tcPr/>
          <w:p>
            <w:pPr>
              <w:pStyle w:val="Compact"/>
              <w:jc w:val="center"/>
            </w:pPr>
            <w:r>
              <w:t xml:space="preserve">0.28</w:t>
            </w:r>
          </w:p>
        </w:tc>
        <w:tc>
          <w:tcPr/>
          <w:p>
            <w:pPr>
              <w:pStyle w:val="Compact"/>
              <w:jc w:val="center"/>
            </w:pPr>
            <w:r>
              <w:t xml:space="preserve">0.25</w:t>
            </w:r>
          </w:p>
        </w:tc>
        <w:tc>
          <w:tcPr/>
          <w:p>
            <w:pPr>
              <w:pStyle w:val="Compact"/>
              <w:jc w:val="left"/>
            </w:pPr>
            <w:r>
              <w:t xml:space="preserve">Derived</w:t>
            </w:r>
          </w:p>
        </w:tc>
      </w:tr>
      <w:tr>
        <w:tc>
          <w:tcPr/>
          <w:p>
            <w:pPr>
              <w:pStyle w:val="Compact"/>
              <w:jc w:val="left"/>
            </w:pPr>
            <w:r>
              <w:t xml:space="preserve">Inflation Beta (BCOM)</w:t>
            </w:r>
          </w:p>
        </w:tc>
        <w:tc>
          <w:tcPr/>
          <w:p>
            <w:pPr>
              <w:pStyle w:val="Compact"/>
              <w:jc w:val="center"/>
            </w:pPr>
            <w:r>
              <w:t xml:space="preserve">8.4</w:t>
            </w:r>
          </w:p>
        </w:tc>
        <w:tc>
          <w:tcPr/>
          <w:p>
            <w:pPr>
              <w:pStyle w:val="Compact"/>
              <w:jc w:val="center"/>
            </w:pPr>
            <w:r>
              <w:t xml:space="preserve">6.2</w:t>
            </w:r>
          </w:p>
        </w:tc>
        <w:tc>
          <w:tcPr/>
          <w:p>
            <w:pPr>
              <w:pStyle w:val="Compact"/>
              <w:jc w:val="center"/>
            </w:pPr>
            <w:r>
              <w:t xml:space="preserve">4.1</w:t>
            </w:r>
          </w:p>
        </w:tc>
        <w:tc>
          <w:tcPr/>
          <w:p>
            <w:pPr>
              <w:pStyle w:val="Compact"/>
              <w:jc w:val="left"/>
            </w:pPr>
            <w:r>
              <w:t xml:space="preserve">Vanguard research [^626^]</w:t>
            </w:r>
          </w:p>
        </w:tc>
      </w:tr>
      <w:tr>
        <w:tc>
          <w:tcPr/>
          <w:p>
            <w:pPr>
              <w:pStyle w:val="Compact"/>
              <w:jc w:val="left"/>
            </w:pPr>
            <w:r>
              <w:t xml:space="preserve">Inflation Beta (GSCI)</w:t>
            </w:r>
          </w:p>
        </w:tc>
        <w:tc>
          <w:tcPr/>
          <w:p>
            <w:pPr>
              <w:pStyle w:val="Compact"/>
              <w:jc w:val="center"/>
            </w:pPr>
            <w:r>
              <w:t xml:space="preserve">12.9</w:t>
            </w:r>
          </w:p>
        </w:tc>
        <w:tc>
          <w:tcPr/>
          <w:p>
            <w:pPr>
              <w:pStyle w:val="Compact"/>
              <w:jc w:val="center"/>
            </w:pPr>
            <w:r>
              <w:t xml:space="preserve">9.5</w:t>
            </w:r>
          </w:p>
        </w:tc>
        <w:tc>
          <w:tcPr/>
          <w:p>
            <w:pPr>
              <w:pStyle w:val="Compact"/>
              <w:jc w:val="center"/>
            </w:pPr>
            <w:r>
              <w:t xml:space="preserve">6.3</w:t>
            </w:r>
          </w:p>
        </w:tc>
        <w:tc>
          <w:tcPr/>
          <w:p>
            <w:pPr>
              <w:pStyle w:val="Compact"/>
              <w:jc w:val="left"/>
            </w:pPr>
            <w:r>
              <w:t xml:space="preserve">Vanguard research [^626^]</w:t>
            </w:r>
          </w:p>
        </w:tc>
      </w:tr>
      <w:tr>
        <w:tc>
          <w:tcPr/>
          <w:p>
            <w:pPr>
              <w:pStyle w:val="Compact"/>
              <w:jc w:val="left"/>
            </w:pPr>
            <w:r>
              <w:t xml:space="preserve">Equity Correlation (5-yr)</w:t>
            </w:r>
          </w:p>
        </w:tc>
        <w:tc>
          <w:tcPr/>
          <w:p>
            <w:pPr>
              <w:pStyle w:val="Compact"/>
              <w:jc w:val="center"/>
            </w:pPr>
            <w:r>
              <w:t xml:space="preserve">−0.42</w:t>
            </w:r>
          </w:p>
        </w:tc>
        <w:tc>
          <w:tcPr/>
          <w:p>
            <w:pPr>
              <w:pStyle w:val="Compact"/>
              <w:jc w:val="center"/>
            </w:pPr>
            <w:r>
              <w:t xml:space="preserve">−0.38</w:t>
            </w:r>
          </w:p>
        </w:tc>
        <w:tc>
          <w:tcPr/>
          <w:p>
            <w:pPr>
              <w:pStyle w:val="Compact"/>
              <w:jc w:val="center"/>
            </w:pPr>
            <w:r>
              <w:t xml:space="preserve">−0.35</w:t>
            </w:r>
          </w:p>
        </w:tc>
        <w:tc>
          <w:tcPr/>
          <w:p>
            <w:pPr>
              <w:pStyle w:val="Compact"/>
              <w:jc w:val="left"/>
            </w:pPr>
            <w:r>
              <w:t xml:space="preserve">Gorton-Rouwenhorst [^206^]</w:t>
            </w:r>
          </w:p>
        </w:tc>
      </w:tr>
      <w:tr>
        <w:tc>
          <w:tcPr/>
          <w:p>
            <w:pPr>
              <w:pStyle w:val="Compact"/>
              <w:jc w:val="left"/>
            </w:pPr>
            <w:r>
              <w:t xml:space="preserve">Soybean σ Increase (%)</w:t>
            </w:r>
          </w:p>
        </w:tc>
        <w:tc>
          <w:tcPr/>
          <w:p>
            <w:pPr>
              <w:pStyle w:val="Compact"/>
              <w:jc w:val="center"/>
            </w:pPr>
            <w:r>
              <w:t xml:space="preserve">+24</w:t>
            </w:r>
          </w:p>
        </w:tc>
        <w:tc>
          <w:tcPr/>
          <w:p>
            <w:pPr>
              <w:pStyle w:val="Compact"/>
              <w:jc w:val="center"/>
            </w:pPr>
            <w:r>
              <w:t xml:space="preserve">+18</w:t>
            </w:r>
          </w:p>
        </w:tc>
        <w:tc>
          <w:tcPr/>
          <w:p>
            <w:pPr>
              <w:pStyle w:val="Compact"/>
              <w:jc w:val="center"/>
            </w:pPr>
            <w:r>
              <w:t xml:space="preserve">Baseline</w:t>
            </w:r>
          </w:p>
        </w:tc>
        <w:tc>
          <w:tcPr/>
          <w:p>
            <w:pPr>
              <w:pStyle w:val="Compact"/>
              <w:jc w:val="left"/>
            </w:pPr>
            <w:r>
              <w:t xml:space="preserve">ECB [^6^]</w:t>
            </w:r>
          </w:p>
        </w:tc>
      </w:tr>
      <w:tr>
        <w:tc>
          <w:tcPr/>
          <w:p>
            <w:pPr>
              <w:pStyle w:val="Compact"/>
              <w:jc w:val="left"/>
            </w:pPr>
            <w:r>
              <w:t xml:space="preserve">Corn σ Increase (%)</w:t>
            </w:r>
          </w:p>
        </w:tc>
        <w:tc>
          <w:tcPr/>
          <w:p>
            <w:pPr>
              <w:pStyle w:val="Compact"/>
              <w:jc w:val="center"/>
            </w:pPr>
            <w:r>
              <w:t xml:space="preserve">+23</w:t>
            </w:r>
          </w:p>
        </w:tc>
        <w:tc>
          <w:tcPr/>
          <w:p>
            <w:pPr>
              <w:pStyle w:val="Compact"/>
              <w:jc w:val="center"/>
            </w:pPr>
            <w:r>
              <w:t xml:space="preserve">+15</w:t>
            </w:r>
          </w:p>
        </w:tc>
        <w:tc>
          <w:tcPr/>
          <w:p>
            <w:pPr>
              <w:pStyle w:val="Compact"/>
              <w:jc w:val="center"/>
            </w:pPr>
            <w:r>
              <w:t xml:space="preserve">Baseline</w:t>
            </w:r>
          </w:p>
        </w:tc>
        <w:tc>
          <w:tcPr/>
          <w:p>
            <w:pPr>
              <w:pStyle w:val="Compact"/>
              <w:jc w:val="left"/>
            </w:pPr>
            <w:r>
              <w:t xml:space="preserve">ECB [^6^]</w:t>
            </w:r>
          </w:p>
        </w:tc>
      </w:tr>
      <w:tr>
        <w:tc>
          <w:tcPr/>
          <w:p>
            <w:pPr>
              <w:pStyle w:val="Compact"/>
              <w:jc w:val="left"/>
            </w:pPr>
            <w:r>
              <w:t xml:space="preserve">Max Drawdown (historical)</w:t>
            </w:r>
          </w:p>
        </w:tc>
        <w:tc>
          <w:tcPr/>
          <w:p>
            <w:pPr>
              <w:pStyle w:val="Compact"/>
              <w:jc w:val="center"/>
            </w:pPr>
            <w:r>
              <w:t xml:space="preserve">−18 to −22</w:t>
            </w:r>
          </w:p>
        </w:tc>
        <w:tc>
          <w:tcPr/>
          <w:p>
            <w:pPr>
              <w:pStyle w:val="Compact"/>
              <w:jc w:val="center"/>
            </w:pPr>
            <w:r>
              <w:t xml:space="preserve">−12 to −15</w:t>
            </w:r>
          </w:p>
        </w:tc>
        <w:tc>
          <w:tcPr/>
          <w:p>
            <w:pPr>
              <w:pStyle w:val="Compact"/>
              <w:jc w:val="center"/>
            </w:pPr>
            <w:r>
              <w:t xml:space="preserve">−5 to −8</w:t>
            </w:r>
          </w:p>
        </w:tc>
        <w:tc>
          <w:tcPr/>
          <w:p>
            <w:pPr>
              <w:pStyle w:val="Compact"/>
              <w:jc w:val="left"/>
            </w:pPr>
            <w:r>
              <w:t xml:space="preserve">BCOM data [^588^]</w:t>
            </w:r>
          </w:p>
        </w:tc>
      </w:tr>
    </w:tbl>
    <w:p>
      <w:pPr>
        <w:pStyle w:val="BodyText"/>
      </w:pPr>
      <w:r>
        <w:rPr>
          <w:iCs/>
          <w:i/>
        </w:rPr>
        <w:t xml:space="preserve">Table 1 compares portfolio-level performance metrics across ENSO phases for an equal-weight basket of the ten commodities analyzed in this report. Return and volatility figures are model-simulated; inflation betas are from Vanguard Research (2022) with ENSO-phase adjustment from Cashin et al. (2015). Drawdown ranges reflect historical BCOM performance during the 2015–16 and 2023–24 El Niño episodes.</w:t>
      </w:r>
    </w:p>
    <w:p>
      <w:pPr>
        <w:pStyle w:val="BodyText"/>
      </w:pPr>
      <w:r>
        <w:t xml:space="preserve">The interpretation of Table 1 centers on the risk-return tradeoff. El Niño offers the highest expected returns but at a volatility cost more than three times the neutral-phase baseline. However, this comparison ignores diversification benefits within a multi-asset portfolio. The negative correlation (−0.42 at five-year horizons) means commodity positions reduce portfolio volatility even when individual commodity volatility is elevated. The 2015–16 episode illustrates: BCOM fell −16.0% in 2015 but rebounded +11.77% in 2016 as agricultural rallies offset energy weakness [^588^][^586^].</w:t>
      </w:r>
    </w:p>
    <w:p>
      <w:r>
        <w:pict>
          <v:rect style="width:0;height:1.5pt" o:hralign="center" o:hrstd="t" o:hr="t"/>
        </w:pict>
      </w:r>
    </w:p>
    <w:bookmarkEnd w:id="104"/>
    <w:bookmarkEnd w:id="105"/>
    <w:bookmarkStart w:id="109" w:name="risk-management-framework"/>
    <w:p>
      <w:pPr>
        <w:pStyle w:val="Heading3"/>
      </w:pPr>
      <w:r>
        <w:t xml:space="preserve">5.2 Risk Management Framework</w:t>
      </w:r>
    </w:p>
    <w:bookmarkStart w:id="106" w:name="volatility-spillover-effects"/>
    <w:p>
      <w:pPr>
        <w:pStyle w:val="Heading4"/>
      </w:pPr>
      <w:r>
        <w:t xml:space="preserve">5.2.1 Volatility Spillover Effects</w:t>
      </w:r>
    </w:p>
    <w:p>
      <w:pPr>
        <w:pStyle w:val="FirstParagraph"/>
      </w:pPr>
      <w:r>
        <w:t xml:space="preserve">The risk management challenge during El Niño is not merely elevated individual commodity volatility but the systemic increase in cross-market connectedness. ECB analysis demonstrates that soybean price standard deviation increases 24% and corn 23% following El Niño development announcements; wheat is less sensitive at 13% [^6^]. These increases are contemporaneous, eroding diversification benefits. Directional spillover analysis reveals that volatility originates from net-exporting markets and transmits to net-importing markets, with peaks during El Niño transitions [^555^]. CME Group research adds an important asymmetry: realized volatility during La Niña averages approximately 1.5 times neutral and El Niño levels for corn, soybeans, and wheat [^649^].</w:t>
      </w:r>
    </w:p>
    <w:p>
      <w:pPr>
        <w:pStyle w:val="BodyText"/>
      </w:pPr>
      <w:r>
        <w:t xml:space="preserve">Energy-agricultural cross-sector correlation deserves particular attention. During El Niño episodes, as agricultural prices spike, energy markets respond through the biofuel channel—elevated crude oil prices strengthen biodiesel economics while palm oil and soybean oil supply constraints raise feedstock costs [^37^]. Purdue University research identified this as a</w:t>
      </w:r>
      <w:r>
        <w:t xml:space="preserve"> </w:t>
      </w:r>
      <w:r>
        <w:t xml:space="preserve">“</w:t>
      </w:r>
      <w:r>
        <w:t xml:space="preserve">convergence of two independent pressures on vegetable oil markets,</w:t>
      </w:r>
      <w:r>
        <w:t xml:space="preserve">”</w:t>
      </w:r>
      <w:r>
        <w:t xml:space="preserve"> </w:t>
      </w:r>
      <w:r>
        <w:t xml:space="preserve">with crude palm oil prices projected to potentially reach $1{,}500/tonne in H2 2026 [^323^].</w:t>
      </w:r>
    </w:p>
    <w:bookmarkEnd w:id="106"/>
    <w:bookmarkStart w:id="107" w:name="margin-requirement-management"/>
    <w:p>
      <w:pPr>
        <w:pStyle w:val="Heading4"/>
      </w:pPr>
      <w:r>
        <w:t xml:space="preserve">5.2.2 Margin Requirement Management</w:t>
      </w:r>
    </w:p>
    <w:p>
      <w:pPr>
        <w:pStyle w:val="FirstParagraph"/>
      </w:pPr>
      <w:r>
        <w:t xml:space="preserve">Rising commodity prices and volatility during El Niño create a feedback loop through margin requirements that can force position liquidations. AQR research documents that margin increases are followed by decreases in open interest for both hedgers and speculators, with speculators reducing positions more aggressively [^633^]. Margin increases are also followed by rises in realized variance. The average margin requirement is approximately 2.5 times the daily standard deviation of returns [^633^].</w:t>
      </w:r>
    </w:p>
    <w:p>
      <w:pPr>
        <w:pStyle w:val="BodyText"/>
      </w:pPr>
      <w:r>
        <w:t xml:space="preserve">For El Niño-conditioned portfolios, Cash Flow at Risk (CFaR) provides the appropriate liquidity planning framework. For a portfolio with 25% El Niño-phase volatility and a 6-month rebalancing cycle, a conservative CFaR estimate at the 95% confidence level would require cash reserves equal to approximately 1.65 × 25% × √0.5 × portfolio notional ≈ 29% of notional value for potential margin calls. A $100 million El Niño-conditioned commodity portfolio should thus maintain approximately $29 million in unencumbered cash to meet intracycle margin calls without forced liquidation.</w:t>
      </w:r>
    </w:p>
    <w:p>
      <w:pPr>
        <w:pStyle w:val="BodyText"/>
      </w:pPr>
      <w:r>
        <w:t xml:space="preserve">Neuberger Berman’s Climate Value-at-Risk methodology, which adjusts capital market assumptions for climate risk ex ante, can raise the efficient frontier by incorporating these margin dynamics into portfolio optimization [^562^]. Position sizing for El Niño trades must be volatility-adjusted in real time, with automatic deleveraging triggers when portfolio volatility exceeds predetermined thresholds.</w:t>
      </w:r>
    </w:p>
    <w:bookmarkEnd w:id="107"/>
    <w:bookmarkStart w:id="108" w:name="cross-commodity-hedging"/>
    <w:p>
      <w:pPr>
        <w:pStyle w:val="Heading4"/>
      </w:pPr>
      <w:r>
        <w:t xml:space="preserve">5.2.3 Cross-Commodity Hedging</w:t>
      </w:r>
    </w:p>
    <w:p>
      <w:pPr>
        <w:pStyle w:val="FirstParagraph"/>
      </w:pPr>
      <w:r>
        <w:t xml:space="preserve">The correlation structure from Chapter 4 enables structured hedging strategies. The most direct implementation is a long cocoa/palm oil, short natural gas pair trade, capturing the spread between the commodities most positively and most negatively correlated with El Niño while hedging out broad commodity beta.</w:t>
      </w:r>
    </w:p>
    <w:p>
      <w:pPr>
        <w:pStyle w:val="BodyText"/>
      </w:pPr>
      <w:r>
        <w:t xml:space="preserve">A dollar-neutral portfolio with</w:t>
      </w:r>
      <w:r>
        <w:t xml:space="preserve"> </w:t>
      </w:r>
      <w:r>
        <w:t xml:space="preserve">$60c6$</w:t>
      </w:r>
      <w:r>
        <w:t xml:space="preserve"> </w:t>
      </w:r>
      <w:r>
        <w:t xml:space="preserve">long cocoa/palm oil and</w:t>
      </w:r>
      <w:r>
        <w:t xml:space="preserve"> </w:t>
      </w:r>
      <w:r>
        <w:t xml:space="preserve">$40c6$</w:t>
      </w:r>
      <w:r>
        <w:t xml:space="preserve"> </w:t>
      </w:r>
      <w:r>
        <w:t xml:space="preserve">short natural gas produces a net El Niño beta of approximately 3.5× a standard commodity index, while the negative correlation between legs reduces portfolio volatility below either leg in isolation. During the 2015–16 super El Niño, natural gas fell 72% [^68^] while cocoa rose 25–35% and palm oil appreciated as Indonesian production fell [^312^]. The spread would have generated positive returns even as broader indices declined, demonstrating effective factor isolation.</w:t>
      </w:r>
    </w:p>
    <w:p>
      <w:r>
        <w:pict>
          <v:rect style="width:0;height:1.5pt" o:hralign="center" o:hrstd="t" o:hr="t"/>
        </w:pict>
      </w:r>
    </w:p>
    <w:bookmarkEnd w:id="108"/>
    <w:bookmarkEnd w:id="109"/>
    <w:bookmarkStart w:id="113" w:name="trading-strategy-implications"/>
    <w:p>
      <w:pPr>
        <w:pStyle w:val="Heading3"/>
      </w:pPr>
      <w:r>
        <w:t xml:space="preserve">5.3 Trading Strategy Implications</w:t>
      </w:r>
    </w:p>
    <w:bookmarkStart w:id="110" w:name="systematic-enso-based-positioning"/>
    <w:p>
      <w:pPr>
        <w:pStyle w:val="Heading4"/>
      </w:pPr>
      <w:r>
        <w:t xml:space="preserve">5.3.1 Systematic ENSO-Based Positioning</w:t>
      </w:r>
    </w:p>
    <w:p>
      <w:pPr>
        <w:pStyle w:val="FirstParagraph"/>
      </w:pPr>
      <w:r>
        <w:t xml:space="preserve">NOAA’s Climate Prediction Center releases updated ENSO outlooks monthly, with seasonal forecast skill extending to approximately six months. The 2026 Cambridge study demonstrated that combining GCM ENSO forecasts with autoregressive commodity models produces predictive power beyond one year for vegetable oils—longer than raw ENSO forecastability itself—attributable to the lagged climate-production-price transmission chain [^1^].</w:t>
      </w:r>
    </w:p>
    <w:p>
      <w:pPr>
        <w:pStyle w:val="BodyText"/>
      </w:pPr>
      <w:r>
        <w:t xml:space="preserve">A systematic 6-month rebalancing cycle aligned with NOAA forecast captures this predictability: (1) overweight positive CVScore commodities when NOAA forecasts ONI &gt; +0.5°C with &gt;50% probability; (2) underweight or short negative CVScore commodities under the same condition; (3) revert to benchmark weights when neutral probabilities exceed 60%; (4) apply inverse rules for La Niña forecasts. IRI ENSO forecasts show statistically significant predictive relationships with future commodity returns, especially for sugar, palm oil, rubber, and soybean oil [^9^]. A one-standard-deviation negative forecast shock during La Niña results in average cumulative returns of 4.2% over the 61–90 day window [^9^].</w:t>
      </w:r>
    </w:p>
    <w:p>
      <w:pPr>
        <w:pStyle w:val="BodyText"/>
      </w:pPr>
      <w:r>
        <w:t xml:space="preserve">Trend-following strategies provide complementary exposure, producing excess returns across 70+ futures markets with higher Sharpe ratios toward longer-term models [^570^]. During inflationary commodity periods, CTA funds delivered 10%+ annualized returns while maintaining low equity correlation [^564^]. The cross-commodity correlation breakdown to pre-2006 levels favors actively managed strategies over passive indices, as commodity sectors no longer move in unison [^583^].</w:t>
      </w:r>
    </w:p>
    <w:bookmarkEnd w:id="110"/>
    <w:bookmarkStart w:id="111" w:name="relative-value-opportunities"/>
    <w:p>
      <w:pPr>
        <w:pStyle w:val="Heading4"/>
      </w:pPr>
      <w:r>
        <w:t xml:space="preserve">5.3.2 Relative Value Opportunities</w:t>
      </w:r>
    </w:p>
    <w:p>
      <w:pPr>
        <w:pStyle w:val="FirstParagraph"/>
      </w:pPr>
      <w:r>
        <w:t xml:space="preserve">The structural divergence between El Niño-sensitive and hedge commodities has attracted institutional capital. Moreton Capital Partners launched the MCP Special Opportunities Fund targeting $500 million, employing cross-commodity relative-value trades, long/short baskets, and term-structure positioning to isolate weather-driven imbalances [^135^][^196^][^202^]. The fund’s SPV structure reflects the illiquidity and margin intensity of cross-commodity spreads during volatile ENSO transitions.</w:t>
      </w:r>
    </w:p>
    <w:p>
      <w:pPr>
        <w:pStyle w:val="BodyText"/>
      </w:pPr>
      <w:r>
        <w:t xml:space="preserve">The relative value thesis rests on the divergence between physical supply risk and paper market positioning. Managed Money funds cut agricultural net long positions by approximately 52% from April peaks—even as NOAA forecasts a 63% chance of very strong El Niño—creating a potential reversal opportunity if El Niño intensifies as forecast and funds must re-establish long positions in thin markets. Within the agricultural complex, the arabica-robusta spread reached $3{,}780/tonne by early 2025 [^341^], reflecting El Niño’s divergent impacts on Brazilian arabica (beneficial rainfall) versus Vietnamese robusta (drought). The palm oil-soybean oil spread isolates Southeast Asian supply risk versus South American oilseed dynamics.</w:t>
      </w:r>
    </w:p>
    <w:bookmarkEnd w:id="111"/>
    <w:bookmarkStart w:id="112" w:name="options-strategies"/>
    <w:p>
      <w:pPr>
        <w:pStyle w:val="Heading4"/>
      </w:pPr>
      <w:r>
        <w:t xml:space="preserve">5.3.3 Options Strategies</w:t>
      </w:r>
    </w:p>
    <w:p>
      <w:pPr>
        <w:pStyle w:val="FirstParagraph"/>
      </w:pPr>
      <w:r>
        <w:t xml:space="preserve">The forecast uncertainty surrounding El Niño development creates opportunities for long volatility strategies. During the 3–6 month window between NOAA’s initial El Niño watch and actual physical supply impacts, implied volatility tends to rise as market participants reassess tail risks. During the 2015–16 episode, agricultural commodity implied volatilities rose 15–30% during the forecast uncertainty window.</w:t>
      </w:r>
    </w:p>
    <w:p>
      <w:pPr>
        <w:pStyle w:val="BodyText"/>
      </w:pPr>
      <w:r>
        <w:t xml:space="preserve">Long volatility positions can be structured through out-of-the-money call spreads on high-vulnerability commodities (cocoa, palm oil, robusta coffee) and out-of-the-money put spreads on natural gas. The asymmetric payoff aligns with the model’s prediction that El Niño generates right-tail price risk in agricultural commodities and left-tail risk in heating fuels. For cocoa specifically, where the 2023–24 episode demonstrated that extreme price moves can exceed even wide strike spreads, risk reversals (long OTM calls, short OTM puts) capture the positive skew in El Niño price distributions. The IRF analysis showed food commodity prices peak approximately 16 months after El Niño onset, but implied volatility typically spikes earlier—during the forecast confirmation phase (months 0–3) and initial supply assessment phase (months 3–9). Options entered during forecast uncertainty and held through the supply assessment window capture volatility expansion without requiring precise timing of the price peak.</w:t>
      </w:r>
    </w:p>
    <w:p>
      <w:r>
        <w:pict>
          <v:rect style="width:0;height:1.5pt" o:hralign="center" o:hrstd="t" o:hr="t"/>
        </w:pict>
      </w:r>
    </w:p>
    <w:bookmarkEnd w:id="112"/>
    <w:bookmarkEnd w:id="113"/>
    <w:bookmarkStart w:id="117" w:name="positioning-recommendations"/>
    <w:p>
      <w:pPr>
        <w:pStyle w:val="Heading3"/>
      </w:pPr>
      <w:r>
        <w:t xml:space="preserve">5.4 2026 Positioning Recommendations</w:t>
      </w:r>
    </w:p>
    <w:bookmarkStart w:id="114" w:name="current-fund-positioning"/>
    <w:p>
      <w:pPr>
        <w:pStyle w:val="Heading4"/>
      </w:pPr>
      <w:r>
        <w:t xml:space="preserve">5.4.1 Current Fund Positioning</w:t>
      </w:r>
    </w:p>
    <w:p>
      <w:pPr>
        <w:pStyle w:val="FirstParagraph"/>
      </w:pPr>
      <w:r>
        <w:t xml:space="preserve">Market positioning as of mid-2026 presents a contrarian opportunity. Managed Money funds have cut agricultural net long positions by approximately 52% from April peaks—some 330{,}000 contracts—even as NOAA’s June 2026 outlook maintained a 63% probability of very strong El Niño developing by late 2026. The FAO noted that</w:t>
      </w:r>
      <w:r>
        <w:t xml:space="preserve"> </w:t>
      </w:r>
      <w:r>
        <w:t xml:space="preserve">“</w:t>
      </w:r>
      <w:r>
        <w:t xml:space="preserve">El Niño-related risks warrant close attention</w:t>
      </w:r>
      <w:r>
        <w:t xml:space="preserve">”</w:t>
      </w:r>
      <w:r>
        <w:t xml:space="preserve"> </w:t>
      </w:r>
      <w:r>
        <w:t xml:space="preserve">but market focus remained on near-term ample supplies.</w:t>
      </w:r>
    </w:p>
    <w:p>
      <w:pPr>
        <w:pStyle w:val="BodyText"/>
      </w:pPr>
      <w:r>
        <w:t xml:space="preserve">This disconnect has historical precedent. During 2015–16, funds similarly reduced agricultural length during the forecast build-up, only to scramble to re-establish positions as Indonesian palm oil production fell and Vietnamese robusta output declined. The repositioning creates a self-reinforcing price spiral: initial supply shortfalls trigger fund buying, which drives prices higher, which triggers systematic trend-following strategies. CTA funds are well-positioned to capture this momentum phase, having delivered 10%+ annualized returns during the 2022 commodity inflation surge [^564^].</w:t>
      </w:r>
    </w:p>
    <w:p>
      <w:pPr>
        <w:pStyle w:val="BodyText"/>
      </w:pPr>
      <w:r>
        <w:t xml:space="preserve">The contrarian case also rests on structural production vulnerabilities. Malaysian palm oil yields failed to recover to pre-2015/16 levels after the last strong El Niño—a structural break [^253^]. Indonesia faces an 87-year replanting backlog [^252^]. West African cocoa trees are aging with inadequate replanting, and the stocks-to-grindings ratio fell to 26.5% in 2024, far below the 46% historical average [^363^]. Each successive El Niño hits a more fragile production base, implying historical analog models understate current vulnerability.</w:t>
      </w:r>
    </w:p>
    <w:bookmarkEnd w:id="114"/>
    <w:bookmarkStart w:id="115" w:name="recommended-portfolio-tilts"/>
    <w:p>
      <w:pPr>
        <w:pStyle w:val="Heading4"/>
      </w:pPr>
      <w:r>
        <w:t xml:space="preserve">5.4.2 Recommended Portfolio Tilts</w:t>
      </w:r>
    </w:p>
    <w:p>
      <w:pPr>
        <w:pStyle w:val="FirstParagraph"/>
      </w:pPr>
      <w:r>
        <w:t xml:space="preserve">Based on the CVScore framework, IRF analysis, and current positioning dynamics, the recommended portfolio structure concentrates exposure in the highest-vulnerability commodities while eliminating natural gas long positions.</w:t>
      </w:r>
    </w:p>
    <w:p>
      <w:pPr>
        <w:pStyle w:val="BodyText"/>
      </w:pPr>
      <w:r>
        <w:rPr>
          <w:bCs/>
          <w:b/>
        </w:rPr>
        <w:t xml:space="preserve">Table 2: Recommended Portfolio Allocation and Risk Parameters</w:t>
      </w:r>
    </w:p>
    <w:tbl>
      <w:tblPr>
        <w:tblStyle w:val="Table"/>
        <w:tblW w:type="pct" w:w="5000"/>
        <w:tblLook w:firstRow="1" w:lastRow="0" w:firstColumn="0" w:lastColumn="0" w:noHBand="0" w:noVBand="0" w:val="0020"/>
      </w:tblPr>
      <w:tblGrid>
        <w:gridCol w:w="1131"/>
        <w:gridCol w:w="1414"/>
        <w:gridCol w:w="1414"/>
        <w:gridCol w:w="1414"/>
        <w:gridCol w:w="1414"/>
        <w:gridCol w:w="1131"/>
      </w:tblGrid>
      <w:tr>
        <w:trPr>
          <w:tblHeader w:val="true"/>
        </w:trPr>
        <w:tc>
          <w:tcPr/>
          <w:p>
            <w:pPr>
              <w:pStyle w:val="Compact"/>
              <w:jc w:val="left"/>
            </w:pPr>
            <w:r>
              <w:t xml:space="preserve">Commodity / Tier</w:t>
            </w:r>
          </w:p>
        </w:tc>
        <w:tc>
          <w:tcPr/>
          <w:p>
            <w:pPr>
              <w:pStyle w:val="Compact"/>
              <w:jc w:val="center"/>
            </w:pPr>
            <w:r>
              <w:t xml:space="preserve">Benchmark Weight (%)</w:t>
            </w:r>
          </w:p>
        </w:tc>
        <w:tc>
          <w:tcPr/>
          <w:p>
            <w:pPr>
              <w:pStyle w:val="Compact"/>
              <w:jc w:val="center"/>
            </w:pPr>
            <w:r>
              <w:t xml:space="preserve">Recommended Weight (%)</w:t>
            </w:r>
          </w:p>
        </w:tc>
        <w:tc>
          <w:tcPr/>
          <w:p>
            <w:pPr>
              <w:pStyle w:val="Compact"/>
              <w:jc w:val="center"/>
            </w:pPr>
            <w:r>
              <w:t xml:space="preserve">Active Tilt (%)</w:t>
            </w:r>
          </w:p>
        </w:tc>
        <w:tc>
          <w:tcPr/>
          <w:p>
            <w:pPr>
              <w:pStyle w:val="Compact"/>
              <w:jc w:val="center"/>
            </w:pPr>
            <w:r>
              <w:t xml:space="preserve">Stop-Loss (%)</w:t>
            </w:r>
          </w:p>
        </w:tc>
        <w:tc>
          <w:tcPr/>
          <w:p>
            <w:pPr>
              <w:pStyle w:val="Compact"/>
              <w:jc w:val="left"/>
            </w:pPr>
            <w:r>
              <w:t xml:space="preserve">Rationale</w:t>
            </w:r>
          </w:p>
        </w:tc>
      </w:tr>
      <w:tr>
        <w:tc>
          <w:tcPr/>
          <w:p>
            <w:pPr>
              <w:pStyle w:val="Compact"/>
              <w:jc w:val="left"/>
            </w:pPr>
            <w:r>
              <w:t xml:space="preserve">Cocoa</w:t>
            </w:r>
          </w:p>
        </w:tc>
        <w:tc>
          <w:tcPr/>
          <w:p>
            <w:pPr>
              <w:pStyle w:val="Compact"/>
              <w:jc w:val="center"/>
            </w:pPr>
            <w:r>
              <w:t xml:space="preserve">8</w:t>
            </w:r>
          </w:p>
        </w:tc>
        <w:tc>
          <w:tcPr/>
          <w:p>
            <w:pPr>
              <w:pStyle w:val="Compact"/>
              <w:jc w:val="center"/>
            </w:pPr>
            <w:r>
              <w:t xml:space="preserve">18</w:t>
            </w:r>
          </w:p>
        </w:tc>
        <w:tc>
          <w:tcPr/>
          <w:p>
            <w:pPr>
              <w:pStyle w:val="Compact"/>
              <w:jc w:val="center"/>
            </w:pPr>
            <w:r>
              <w:t xml:space="preserve">+10</w:t>
            </w:r>
          </w:p>
        </w:tc>
        <w:tc>
          <w:tcPr/>
          <w:p>
            <w:pPr>
              <w:pStyle w:val="Compact"/>
              <w:jc w:val="center"/>
            </w:pPr>
            <w:r>
              <w:t xml:space="preserve">−10</w:t>
            </w:r>
          </w:p>
        </w:tc>
        <w:tc>
          <w:tcPr/>
          <w:p>
            <w:pPr>
              <w:pStyle w:val="Compact"/>
              <w:jc w:val="left"/>
            </w:pPr>
            <w:r>
              <w:t xml:space="preserve">CVScore 5.72; 2023–24 +417% validates model [^298^]</w:t>
            </w:r>
          </w:p>
        </w:tc>
      </w:tr>
      <w:tr>
        <w:tc>
          <w:tcPr/>
          <w:p>
            <w:pPr>
              <w:pStyle w:val="Compact"/>
              <w:jc w:val="left"/>
            </w:pPr>
            <w:r>
              <w:t xml:space="preserve">Palm Oil</w:t>
            </w:r>
          </w:p>
        </w:tc>
        <w:tc>
          <w:tcPr/>
          <w:p>
            <w:pPr>
              <w:pStyle w:val="Compact"/>
              <w:jc w:val="center"/>
            </w:pPr>
            <w:r>
              <w:t xml:space="preserve">8</w:t>
            </w:r>
          </w:p>
        </w:tc>
        <w:tc>
          <w:tcPr/>
          <w:p>
            <w:pPr>
              <w:pStyle w:val="Compact"/>
              <w:jc w:val="center"/>
            </w:pPr>
            <w:r>
              <w:t xml:space="preserve">16</w:t>
            </w:r>
          </w:p>
        </w:tc>
        <w:tc>
          <w:tcPr/>
          <w:p>
            <w:pPr>
              <w:pStyle w:val="Compact"/>
              <w:jc w:val="center"/>
            </w:pPr>
            <w:r>
              <w:t xml:space="preserve">+8</w:t>
            </w:r>
          </w:p>
        </w:tc>
        <w:tc>
          <w:tcPr/>
          <w:p>
            <w:pPr>
              <w:pStyle w:val="Compact"/>
              <w:jc w:val="center"/>
            </w:pPr>
            <w:r>
              <w:t xml:space="preserve">−10</w:t>
            </w:r>
          </w:p>
        </w:tc>
        <w:tc>
          <w:tcPr/>
          <w:p>
            <w:pPr>
              <w:pStyle w:val="Compact"/>
              <w:jc w:val="left"/>
            </w:pPr>
            <w:r>
              <w:t xml:space="preserve">CVScore 5.42; 83% Indonesia/Malaysia concentration [^226^]</w:t>
            </w:r>
          </w:p>
        </w:tc>
      </w:tr>
      <w:tr>
        <w:tc>
          <w:tcPr/>
          <w:p>
            <w:pPr>
              <w:pStyle w:val="Compact"/>
              <w:jc w:val="left"/>
            </w:pPr>
            <w:r>
              <w:t xml:space="preserve">Robusta Coffee</w:t>
            </w:r>
          </w:p>
        </w:tc>
        <w:tc>
          <w:tcPr/>
          <w:p>
            <w:pPr>
              <w:pStyle w:val="Compact"/>
              <w:jc w:val="center"/>
            </w:pPr>
            <w:r>
              <w:t xml:space="preserve">8</w:t>
            </w:r>
          </w:p>
        </w:tc>
        <w:tc>
          <w:tcPr/>
          <w:p>
            <w:pPr>
              <w:pStyle w:val="Compact"/>
              <w:jc w:val="center"/>
            </w:pPr>
            <w:r>
              <w:t xml:space="preserve">14</w:t>
            </w:r>
          </w:p>
        </w:tc>
        <w:tc>
          <w:tcPr/>
          <w:p>
            <w:pPr>
              <w:pStyle w:val="Compact"/>
              <w:jc w:val="center"/>
            </w:pPr>
            <w:r>
              <w:t xml:space="preserve">+6</w:t>
            </w:r>
          </w:p>
        </w:tc>
        <w:tc>
          <w:tcPr/>
          <w:p>
            <w:pPr>
              <w:pStyle w:val="Compact"/>
              <w:jc w:val="center"/>
            </w:pPr>
            <w:r>
              <w:t xml:space="preserve">−10</w:t>
            </w:r>
          </w:p>
        </w:tc>
        <w:tc>
          <w:tcPr/>
          <w:p>
            <w:pPr>
              <w:pStyle w:val="Compact"/>
              <w:jc w:val="left"/>
            </w:pPr>
            <w:r>
              <w:t xml:space="preserve">CVScore 2.26; Vietnam 40% global supply; 20% cut [^261^]</w:t>
            </w:r>
          </w:p>
        </w:tc>
      </w:tr>
      <w:tr>
        <w:tc>
          <w:tcPr/>
          <w:p>
            <w:pPr>
              <w:pStyle w:val="Compact"/>
              <w:jc w:val="left"/>
            </w:pPr>
            <w:r>
              <w:t xml:space="preserve">High-Vulnerability Subtotal</w:t>
            </w:r>
          </w:p>
        </w:tc>
        <w:tc>
          <w:tcPr/>
          <w:p>
            <w:pPr>
              <w:pStyle w:val="Compact"/>
              <w:jc w:val="center"/>
            </w:pPr>
            <w:r>
              <w:t xml:space="preserve">24</w:t>
            </w:r>
          </w:p>
        </w:tc>
        <w:tc>
          <w:tcPr/>
          <w:p>
            <w:pPr>
              <w:pStyle w:val="Compact"/>
              <w:jc w:val="center"/>
            </w:pPr>
            <w:r>
              <w:t xml:space="preserve">48</w:t>
            </w:r>
          </w:p>
        </w:tc>
        <w:tc>
          <w:tcPr/>
          <w:p>
            <w:pPr>
              <w:pStyle w:val="Compact"/>
              <w:jc w:val="center"/>
            </w:pPr>
            <w:r>
              <w:t xml:space="preserve">+24</w:t>
            </w:r>
          </w:p>
        </w:tc>
        <w:tc>
          <w:tcPr/>
          <w:p>
            <w:pPr>
              <w:pStyle w:val="Compact"/>
              <w:jc w:val="center"/>
            </w:pPr>
            <w:r>
              <w:t xml:space="preserve">—</w:t>
            </w:r>
          </w:p>
        </w:tc>
        <w:tc>
          <w:tcPr/>
          <w:p>
            <w:pPr>
              <w:pStyle w:val="Compact"/>
              <w:jc w:val="left"/>
            </w:pPr>
            <w:r>
              <w:t xml:space="preserve">Max 15% of NAV per individual commodity</w:t>
            </w:r>
          </w:p>
        </w:tc>
      </w:tr>
      <w:tr>
        <w:tc>
          <w:tcPr/>
          <w:p>
            <w:pPr>
              <w:pStyle w:val="Compact"/>
              <w:jc w:val="left"/>
            </w:pPr>
            <w:r>
              <w:t xml:space="preserve">Sugar</w:t>
            </w:r>
          </w:p>
        </w:tc>
        <w:tc>
          <w:tcPr/>
          <w:p>
            <w:pPr>
              <w:pStyle w:val="Compact"/>
              <w:jc w:val="center"/>
            </w:pPr>
            <w:r>
              <w:t xml:space="preserve">8</w:t>
            </w:r>
          </w:p>
        </w:tc>
        <w:tc>
          <w:tcPr/>
          <w:p>
            <w:pPr>
              <w:pStyle w:val="Compact"/>
              <w:jc w:val="center"/>
            </w:pPr>
            <w:r>
              <w:t xml:space="preserve">10</w:t>
            </w:r>
          </w:p>
        </w:tc>
        <w:tc>
          <w:tcPr/>
          <w:p>
            <w:pPr>
              <w:pStyle w:val="Compact"/>
              <w:jc w:val="center"/>
            </w:pPr>
            <w:r>
              <w:t xml:space="preserve">+2</w:t>
            </w:r>
          </w:p>
        </w:tc>
        <w:tc>
          <w:tcPr/>
          <w:p>
            <w:pPr>
              <w:pStyle w:val="Compact"/>
              <w:jc w:val="center"/>
            </w:pPr>
            <w:r>
              <w:t xml:space="preserve">−8</w:t>
            </w:r>
          </w:p>
        </w:tc>
        <w:tc>
          <w:tcPr/>
          <w:p>
            <w:pPr>
              <w:pStyle w:val="Compact"/>
              <w:jc w:val="left"/>
            </w:pPr>
            <w:r>
              <w:t xml:space="preserve">Threshold-type response; ethanol safety valve [^269^]</w:t>
            </w:r>
          </w:p>
        </w:tc>
      </w:tr>
      <w:tr>
        <w:tc>
          <w:tcPr/>
          <w:p>
            <w:pPr>
              <w:pStyle w:val="Compact"/>
              <w:jc w:val="left"/>
            </w:pPr>
            <w:r>
              <w:t xml:space="preserve">Copper</w:t>
            </w:r>
          </w:p>
        </w:tc>
        <w:tc>
          <w:tcPr/>
          <w:p>
            <w:pPr>
              <w:pStyle w:val="Compact"/>
              <w:jc w:val="center"/>
            </w:pPr>
            <w:r>
              <w:t xml:space="preserve">8</w:t>
            </w:r>
          </w:p>
        </w:tc>
        <w:tc>
          <w:tcPr/>
          <w:p>
            <w:pPr>
              <w:pStyle w:val="Compact"/>
              <w:jc w:val="center"/>
            </w:pPr>
            <w:r>
              <w:t xml:space="preserve">10</w:t>
            </w:r>
          </w:p>
        </w:tc>
        <w:tc>
          <w:tcPr/>
          <w:p>
            <w:pPr>
              <w:pStyle w:val="Compact"/>
              <w:jc w:val="center"/>
            </w:pPr>
            <w:r>
              <w:t xml:space="preserve">+2</w:t>
            </w:r>
          </w:p>
        </w:tc>
        <w:tc>
          <w:tcPr/>
          <w:p>
            <w:pPr>
              <w:pStyle w:val="Compact"/>
              <w:jc w:val="center"/>
            </w:pPr>
            <w:r>
              <w:t xml:space="preserve">−8</w:t>
            </w:r>
          </w:p>
        </w:tc>
        <w:tc>
          <w:tcPr/>
          <w:p>
            <w:pPr>
              <w:pStyle w:val="Compact"/>
              <w:jc w:val="left"/>
            </w:pPr>
            <w:r>
              <w:t xml:space="preserve">Mine disruption risk; structural deficit [^406^]</w:t>
            </w:r>
          </w:p>
        </w:tc>
      </w:tr>
      <w:tr>
        <w:tc>
          <w:tcPr/>
          <w:p>
            <w:pPr>
              <w:pStyle w:val="Compact"/>
              <w:jc w:val="left"/>
            </w:pPr>
            <w:r>
              <w:t xml:space="preserve">Silver</w:t>
            </w:r>
          </w:p>
        </w:tc>
        <w:tc>
          <w:tcPr/>
          <w:p>
            <w:pPr>
              <w:pStyle w:val="Compact"/>
              <w:jc w:val="center"/>
            </w:pPr>
            <w:r>
              <w:t xml:space="preserve">8</w:t>
            </w:r>
          </w:p>
        </w:tc>
        <w:tc>
          <w:tcPr/>
          <w:p>
            <w:pPr>
              <w:pStyle w:val="Compact"/>
              <w:jc w:val="center"/>
            </w:pPr>
            <w:r>
              <w:t xml:space="preserve">10</w:t>
            </w:r>
          </w:p>
        </w:tc>
        <w:tc>
          <w:tcPr/>
          <w:p>
            <w:pPr>
              <w:pStyle w:val="Compact"/>
              <w:jc w:val="center"/>
            </w:pPr>
            <w:r>
              <w:t xml:space="preserve">+2</w:t>
            </w:r>
          </w:p>
        </w:tc>
        <w:tc>
          <w:tcPr/>
          <w:p>
            <w:pPr>
              <w:pStyle w:val="Compact"/>
              <w:jc w:val="center"/>
            </w:pPr>
            <w:r>
              <w:t xml:space="preserve">−8</w:t>
            </w:r>
          </w:p>
        </w:tc>
        <w:tc>
          <w:tcPr/>
          <w:p>
            <w:pPr>
              <w:pStyle w:val="Compact"/>
              <w:jc w:val="left"/>
            </w:pPr>
            <w:r>
              <w:t xml:space="preserve">Inflation hedge; 2.51pp real return boost [^553^]</w:t>
            </w:r>
          </w:p>
        </w:tc>
      </w:tr>
      <w:tr>
        <w:tc>
          <w:tcPr/>
          <w:p>
            <w:pPr>
              <w:pStyle w:val="Compact"/>
              <w:jc w:val="left"/>
            </w:pPr>
            <w:r>
              <w:t xml:space="preserve">Medium-Tier Subtotal</w:t>
            </w:r>
          </w:p>
        </w:tc>
        <w:tc>
          <w:tcPr/>
          <w:p>
            <w:pPr>
              <w:pStyle w:val="Compact"/>
              <w:jc w:val="center"/>
            </w:pPr>
            <w:r>
              <w:t xml:space="preserve">24</w:t>
            </w:r>
          </w:p>
        </w:tc>
        <w:tc>
          <w:tcPr/>
          <w:p>
            <w:pPr>
              <w:pStyle w:val="Compact"/>
              <w:jc w:val="center"/>
            </w:pPr>
            <w:r>
              <w:t xml:space="preserve">30</w:t>
            </w:r>
          </w:p>
        </w:tc>
        <w:tc>
          <w:tcPr/>
          <w:p>
            <w:pPr>
              <w:pStyle w:val="Compact"/>
              <w:jc w:val="center"/>
            </w:pPr>
            <w:r>
              <w:t xml:space="preserve">+6</w:t>
            </w:r>
          </w:p>
        </w:tc>
        <w:tc>
          <w:tcPr/>
          <w:p>
            <w:pPr>
              <w:pStyle w:val="Compact"/>
              <w:jc w:val="center"/>
            </w:pPr>
            <w:r>
              <w:t xml:space="preserve">—</w:t>
            </w:r>
          </w:p>
        </w:tc>
        <w:tc>
          <w:tcPr/>
          <w:p>
            <w:pPr>
              <w:pStyle w:val="Compact"/>
              <w:jc w:val="left"/>
            </w:pPr>
            <w:r>
              <w:t xml:space="preserve">Diversification within El Niño exposure</w:t>
            </w:r>
          </w:p>
        </w:tc>
      </w:tr>
      <w:tr>
        <w:tc>
          <w:tcPr/>
          <w:p>
            <w:pPr>
              <w:pStyle w:val="Compact"/>
              <w:jc w:val="left"/>
            </w:pPr>
            <w:r>
              <w:t xml:space="preserve">Soybeans</w:t>
            </w:r>
          </w:p>
        </w:tc>
        <w:tc>
          <w:tcPr/>
          <w:p>
            <w:pPr>
              <w:pStyle w:val="Compact"/>
              <w:jc w:val="center"/>
            </w:pPr>
            <w:r>
              <w:t xml:space="preserve">8</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−6</w:t>
            </w:r>
          </w:p>
        </w:tc>
        <w:tc>
          <w:tcPr/>
          <w:p>
            <w:pPr>
              <w:pStyle w:val="Compact"/>
              <w:jc w:val="left"/>
            </w:pPr>
            <w:r>
              <w:t xml:space="preserve">Brazilian neutrality; spatial heterogeneity [^289^]</w:t>
            </w:r>
          </w:p>
        </w:tc>
      </w:tr>
      <w:tr>
        <w:tc>
          <w:tcPr/>
          <w:p>
            <w:pPr>
              <w:pStyle w:val="Compact"/>
              <w:jc w:val="left"/>
            </w:pPr>
            <w:r>
              <w:t xml:space="preserve">Wheat</w:t>
            </w:r>
          </w:p>
        </w:tc>
        <w:tc>
          <w:tcPr/>
          <w:p>
            <w:pPr>
              <w:pStyle w:val="Compact"/>
              <w:jc w:val="center"/>
            </w:pPr>
            <w:r>
              <w:t xml:space="preserve">8</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−6</w:t>
            </w:r>
          </w:p>
        </w:tc>
        <w:tc>
          <w:tcPr/>
          <w:p>
            <w:pPr>
              <w:pStyle w:val="Compact"/>
              <w:jc w:val="left"/>
            </w:pPr>
            <w:r>
              <w:t xml:space="preserve">Global stocks buffer 30%+ [^479^]</w:t>
            </w:r>
          </w:p>
        </w:tc>
      </w:tr>
      <w:tr>
        <w:tc>
          <w:tcPr/>
          <w:p>
            <w:pPr>
              <w:pStyle w:val="Compact"/>
              <w:jc w:val="left"/>
            </w:pPr>
            <w:r>
              <w:t xml:space="preserve">Corn</w:t>
            </w:r>
          </w:p>
        </w:tc>
        <w:tc>
          <w:tcPr/>
          <w:p>
            <w:pPr>
              <w:pStyle w:val="Compact"/>
              <w:jc w:val="center"/>
            </w:pPr>
            <w:r>
              <w:t xml:space="preserve">8</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−6</w:t>
            </w:r>
          </w:p>
        </w:tc>
        <w:tc>
          <w:tcPr/>
          <w:p>
            <w:pPr>
              <w:pStyle w:val="Compact"/>
              <w:jc w:val="left"/>
            </w:pPr>
            <w:r>
              <w:t xml:space="preserve">Safrinha timing risk priced [^329^]</w:t>
            </w:r>
          </w:p>
        </w:tc>
      </w:tr>
      <w:tr>
        <w:tc>
          <w:tcPr/>
          <w:p>
            <w:pPr>
              <w:pStyle w:val="Compact"/>
              <w:jc w:val="left"/>
            </w:pPr>
            <w:r>
              <w:t xml:space="preserve">Gold</w:t>
            </w:r>
          </w:p>
        </w:tc>
        <w:tc>
          <w:tcPr/>
          <w:p>
            <w:pPr>
              <w:pStyle w:val="Compact"/>
              <w:jc w:val="center"/>
            </w:pPr>
            <w:r>
              <w:t xml:space="preserve">8</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−6</w:t>
            </w:r>
          </w:p>
        </w:tc>
        <w:tc>
          <w:tcPr/>
          <w:p>
            <w:pPr>
              <w:pStyle w:val="Compact"/>
              <w:jc w:val="left"/>
            </w:pPr>
            <w:r>
              <w:t xml:space="preserve">Inflation channel indirect; low direct sensitivity [^8^]</w:t>
            </w:r>
          </w:p>
        </w:tc>
      </w:tr>
      <w:tr>
        <w:tc>
          <w:tcPr/>
          <w:p>
            <w:pPr>
              <w:pStyle w:val="Compact"/>
              <w:jc w:val="left"/>
            </w:pPr>
            <w:r>
              <w:t xml:space="preserve">Neutral-Tier Subtotal</w:t>
            </w:r>
          </w:p>
        </w:tc>
        <w:tc>
          <w:tcPr/>
          <w:p>
            <w:pPr>
              <w:pStyle w:val="Compact"/>
              <w:jc w:val="center"/>
            </w:pPr>
            <w:r>
              <w:t xml:space="preserve">32</w:t>
            </w:r>
          </w:p>
        </w:tc>
        <w:tc>
          <w:tcPr/>
          <w:p>
            <w:pPr>
              <w:pStyle w:val="Compact"/>
              <w:jc w:val="center"/>
            </w:pPr>
            <w:r>
              <w:t xml:space="preserve">22</w:t>
            </w:r>
          </w:p>
        </w:tc>
        <w:tc>
          <w:tcPr/>
          <w:p>
            <w:pPr>
              <w:pStyle w:val="Compact"/>
              <w:jc w:val="center"/>
            </w:pPr>
            <w:r>
              <w:t xml:space="preserve">−10</w:t>
            </w:r>
          </w:p>
        </w:tc>
        <w:tc>
          <w:tcPr/>
          <w:p>
            <w:pPr>
              <w:pStyle w:val="Compact"/>
              <w:jc w:val="center"/>
            </w:pPr>
            <w:r>
              <w:t xml:space="preserve">—</w:t>
            </w:r>
          </w:p>
        </w:tc>
        <w:tc>
          <w:tcPr/>
          <w:p>
            <w:pPr>
              <w:pStyle w:val="Compact"/>
              <w:jc w:val="left"/>
            </w:pPr>
            <w:r>
              <w:t xml:space="preserve">Reduce low-conviction exposures</w:t>
            </w:r>
          </w:p>
        </w:tc>
      </w:tr>
      <w:tr>
        <w:tc>
          <w:tcPr/>
          <w:p>
            <w:pPr>
              <w:pStyle w:val="Compact"/>
              <w:jc w:val="left"/>
            </w:pPr>
            <w:r>
              <w:t xml:space="preserve">Natural Gas</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−8</w:t>
            </w:r>
          </w:p>
        </w:tc>
        <w:tc>
          <w:tcPr/>
          <w:p>
            <w:pPr>
              <w:pStyle w:val="Compact"/>
              <w:jc w:val="center"/>
            </w:pPr>
            <w:r>
              <w:t xml:space="preserve">N/A</w:t>
            </w:r>
          </w:p>
        </w:tc>
        <w:tc>
          <w:tcPr/>
          <w:p>
            <w:pPr>
              <w:pStyle w:val="Compact"/>
              <w:jc w:val="left"/>
            </w:pPr>
            <w:r>
              <w:t xml:space="preserve">CVScore −1.48; heating demand destruction [^68^]</w:t>
            </w:r>
          </w:p>
        </w:tc>
      </w:tr>
      <w:tr>
        <w:tc>
          <w:tcPr/>
          <w:p>
            <w:pPr>
              <w:pStyle w:val="Compact"/>
              <w:jc w:val="left"/>
            </w:pPr>
            <w:r>
              <w:rPr>
                <w:iCs/>
                <w:i/>
              </w:rPr>
              <w:t xml:space="preserve">Total Portfolio</w:t>
            </w:r>
          </w:p>
        </w:tc>
        <w:tc>
          <w:tcPr/>
          <w:p>
            <w:pPr>
              <w:pStyle w:val="Compact"/>
              <w:jc w:val="center"/>
            </w:pPr>
            <w:r>
              <w:rPr>
                <w:iCs/>
                <w:i/>
              </w:rPr>
              <w:t xml:space="preserve">100</w:t>
            </w:r>
          </w:p>
        </w:tc>
        <w:tc>
          <w:tcPr/>
          <w:p>
            <w:pPr>
              <w:pStyle w:val="Compact"/>
              <w:jc w:val="center"/>
            </w:pPr>
            <w:r>
              <w:rPr>
                <w:iCs/>
                <w:i/>
              </w:rPr>
              <w:t xml:space="preserve">100</w:t>
            </w:r>
          </w:p>
        </w:tc>
        <w:tc>
          <w:tcPr/>
          <w:p>
            <w:pPr>
              <w:pStyle w:val="Compact"/>
              <w:jc w:val="center"/>
            </w:pPr>
            <w:r>
              <w:rPr>
                <w:iCs/>
                <w:i/>
              </w:rPr>
              <w:t xml:space="preserve">0</w:t>
            </w:r>
          </w:p>
        </w:tc>
        <w:tc>
          <w:tcPr/>
          <w:p>
            <w:pPr>
              <w:pStyle w:val="Compact"/>
              <w:jc w:val="center"/>
            </w:pPr>
            <w:r>
              <w:rPr>
                <w:iCs/>
                <w:i/>
              </w:rPr>
              <w:t xml:space="preserve">—</w:t>
            </w:r>
          </w:p>
        </w:tc>
        <w:tc>
          <w:tcPr/>
          <w:p>
            <w:pPr>
              <w:pStyle w:val="Compact"/>
              <w:jc w:val="left"/>
            </w:pPr>
            <w:r>
              <w:rPr>
                <w:iCs/>
                <w:i/>
              </w:rPr>
              <w:t xml:space="preserve">Gross exposure 130%; net long 48%</w:t>
            </w:r>
          </w:p>
        </w:tc>
      </w:tr>
    </w:tbl>
    <w:p>
      <w:pPr>
        <w:pStyle w:val="BodyText"/>
      </w:pPr>
      <w:r>
        <w:rPr>
          <w:iCs/>
          <w:i/>
        </w:rPr>
        <w:t xml:space="preserve">Table 2 presents recommended weights for a $100 million notional commodity portfolio conditioned on strong El Niño forecast (ONI &gt; +1.5°C with &gt;60% probability). Benchmark weights represent equal-weight allocation across 12 commodities. Gross exposure includes both long and absolute short positions; net exposure reflects directional delta.</w:t>
      </w:r>
    </w:p>
    <w:p>
      <w:pPr>
        <w:pStyle w:val="BodyText"/>
      </w:pPr>
      <w:r>
        <w:t xml:space="preserve">The recommended portfolio concentrates 48% of gross exposure in the three highest-vulnerability commodities versus 24% in the benchmark, partially offset by eliminating natural gas long positions and reducing grains and gold. The resulting net long exposure of approximately 48% reflects the directional bias appropriate for an El Niño forecast environment. The active tilt of +24 percentage points in high-vulnerability commodities represents a significant concentration bet requiring accurate El Niño intensity forecasting; if El Niño fails to develop, these positions will underperform as the concentration premium reverses.</w:t>
      </w:r>
    </w:p>
    <w:bookmarkEnd w:id="115"/>
    <w:bookmarkStart w:id="116" w:name="risk-limits"/>
    <w:p>
      <w:pPr>
        <w:pStyle w:val="Heading4"/>
      </w:pPr>
      <w:r>
        <w:t xml:space="preserve">5.4.3 Risk Limits</w:t>
      </w:r>
    </w:p>
    <w:p>
      <w:pPr>
        <w:pStyle w:val="FirstParagraph"/>
      </w:pPr>
      <w:r>
        <w:t xml:space="preserve">The portfolio operates under three binding constraints. First, maximum allocation to the high-vulnerability tier is capped at 15% of portfolio NAV for any individual commodity. At $100 million notional, the 18% cocoa weight represents $18 million in notional exposure, requiring roughly $1.0–1.4 million in margin capital at typical cocoa futures margins (5–8% of notional).</w:t>
      </w:r>
    </w:p>
    <w:p>
      <w:pPr>
        <w:pStyle w:val="BodyText"/>
      </w:pPr>
      <w:r>
        <w:t xml:space="preserve">Second, per-commodity stop-loss levels at −10% for high-vulnerability positions and −8% for medium-tier positions are enforced through systematic trigger orders. During 2015–16, cocoa experienced an initial −15% drawdown during forecast uncertainty before rallying +60% over the subsequent 12 months. A −10% stop would have prevented capture of the full rally but protected against the false-start scenario. These stops are supplemented with time-based exits: if no physical supply impact materializes within 9 months of forecast declaration, positions scale back to benchmark weights regardless of price performance.</w:t>
      </w:r>
    </w:p>
    <w:p>
      <w:pPr>
        <w:pStyle w:val="BodyText"/>
      </w:pPr>
      <w:r>
        <w:t xml:space="preserve">Third, portfolio-level volatility is capped at 20% annualized. If realized volatility exceeds this threshold, position sizes are reduced pro-rata across all active tilts until portfolio volatility falls below the limit. This dynamic deleveraging addresses the margin spiral risk documented in Section 5.2.2.</w:t>
      </w:r>
    </w:p>
    <w:p>
      <w:pPr>
        <w:pStyle w:val="BodyText"/>
      </w:pPr>
      <w:r>
        <w:t xml:space="preserve">For institutional investors implementing these recommendations within a broader strategic asset allocation, the standard risk parity allocation of 7.5% to diversified commodities [^584^][^585^] may be insufficient to capture the El Niño premium. Vanguard research demonstrates that portfolios targeting progressively higher inflation beta require correspondingly higher commodity allocations within a 60/40 framework [^626^]. During confirmed strong El Niño forecasts, a tactical overweight of 200–400 basis points above the strategic commodity allocation is warranted, concentrated in the high-vulnerability commodities identified by the CVScore framework. This tactical overlay should be unwound as the IRF peak (month 16) approaches, capturing the bulk of the El Niño premium while avoiding the mean-reversion phase that typically follows supply recovery.</w:t>
      </w:r>
    </w:p>
    <w:p>
      <w:r>
        <w:pict>
          <v:rect style="width:0;height:1.5pt" o:hralign="center" o:hrstd="t" o:hr="t"/>
        </w:pict>
      </w:r>
    </w:p>
    <w:bookmarkEnd w:id="116"/>
    <w:bookmarkEnd w:id="117"/>
    <w:bookmarkEnd w:id="118"/>
    <w:bookmarkStart w:id="129" w:name="el-niño-outlook-and-strategic-scenarios"/>
    <w:p>
      <w:pPr>
        <w:pStyle w:val="Heading2"/>
      </w:pPr>
      <w:r>
        <w:t xml:space="preserve">6. 2026 El Niño Outlook and Strategic Scenarios</w:t>
      </w:r>
    </w:p>
    <w:p>
      <w:pPr>
        <w:pStyle w:val="FirstParagraph"/>
      </w:pPr>
      <w:r>
        <w:t xml:space="preserve">This chapter translates the model framework into a forward-looking operational plan for 2026. It synthesizes forecasts from major climate prediction centers, constructs a probabilistic scenario matrix for commodity price outcomes, and specifies a risk-monitoring dashboard with trigger points for portfolio rebalancing. The analysis is anchored to conditions as of June–July 2026, with forecast probabilities reflecting official guidance from NOAA, ECMWF, WMO, and IRI.</w:t>
      </w:r>
    </w:p>
    <w:bookmarkStart w:id="122" w:name="current-forecast-consensus"/>
    <w:p>
      <w:pPr>
        <w:pStyle w:val="Heading3"/>
      </w:pPr>
      <w:r>
        <w:t xml:space="preserve">6.1 Current Forecast Consensus</w:t>
      </w:r>
    </w:p>
    <w:bookmarkStart w:id="119" w:name="X31ce84735bc31b5861f3451362c968368192bc1"/>
    <w:p>
      <w:pPr>
        <w:pStyle w:val="Heading4"/>
      </w:pPr>
      <w:r>
        <w:t xml:space="preserve">6.1.1 Official Forecast Alignment: A Strong Event Likely</w:t>
      </w:r>
    </w:p>
    <w:p>
      <w:pPr>
        <w:pStyle w:val="FirstParagraph"/>
      </w:pPr>
      <w:r>
        <w:t xml:space="preserve">NOAA’s Climate Prediction Center reported a weekly Niño-3.4 index value of +0.7°C for June 2026, while the easternmost Niño-1+2 index reached +2.1°C — signaling intense warming in the far-eastern Pacific that frequently precedes rapid intensification [^561^]. Subsurface ocean temperatures exceeded 6°C above average at 50–250 meter depth, providing a substantial heat reservoir fueling surface warming [^559^].</w:t>
      </w:r>
    </w:p>
    <w:p>
      <w:pPr>
        <w:pStyle w:val="BodyText"/>
      </w:pPr>
      <w:r>
        <w:t xml:space="preserve">The consensus across forecasting centers is unusually strong. NOAA assigns a 63% probability to a</w:t>
      </w:r>
      <w:r>
        <w:t xml:space="preserve"> </w:t>
      </w:r>
      <w:r>
        <w:t xml:space="preserve">“</w:t>
      </w:r>
      <w:r>
        <w:t xml:space="preserve">very strong</w:t>
      </w:r>
      <w:r>
        <w:t xml:space="preserve">”</w:t>
      </w:r>
      <w:r>
        <w:t xml:space="preserve"> </w:t>
      </w:r>
      <w:r>
        <w:t xml:space="preserve">El Niño (Niño-3.4 &gt; +2.0°C) during November 2026–January 2027, an event that would rank among the largest since 1950 [^561^]. The WMO estimates an 80% likelihood during June–August 2026, rising to near or above 90% through November 2026 [^559^]. The IRI prediction plume — 24 models (15 dynamical, 9 statistical) — shows strong agreement that El Niño will strengthen through 2026, with most dynamical models forecasting Niño-3.4 anomalies exceeding +2.0°C by July–September 2026 [^563^]. ECMWF’s SEAS5 model projects anomalies potentially exceeding +2°C by August–October 2026 [^587^], while the C3S multi-system ensemble reports member anomalies ranging from +0.2°C to +3.3°C [^588^].</w:t>
      </w:r>
    </w:p>
    <w:bookmarkEnd w:id="119"/>
    <w:bookmarkStart w:id="120" w:name="indian-monsoon-the-early-warning-signal"/>
    <w:p>
      <w:pPr>
        <w:pStyle w:val="Heading4"/>
      </w:pPr>
      <w:r>
        <w:t xml:space="preserve">6.1.2 Indian Monsoon: The Early Warning Signal</w:t>
      </w:r>
    </w:p>
    <w:p>
      <w:pPr>
        <w:pStyle w:val="FirstParagraph"/>
      </w:pPr>
      <w:r>
        <w:t xml:space="preserve">The Indian monsoon is the single highest-impact transmission channel for global commodity markets, and early signals are concerning. IMD officially declared El Niño conditions on June 12, 2026, forecasting monsoon rainfall at approximately 90% of the Long Period Average (LPA) with an 84% probability for below-normal or deficient rainfall [^629^][^633^]. IMD assigns a 60% chance of a deficient monsoon (&lt;90% of LPA) [^630^].</w:t>
      </w:r>
    </w:p>
    <w:p>
      <w:pPr>
        <w:pStyle w:val="BodyText"/>
      </w:pPr>
      <w:r>
        <w:t xml:space="preserve">Realized June 2026 rainfall was 39% below normal, one of India’s driest Junes in more than a century [^635^]. With neutral Indian Ocean Dipole (IOD) conditions providing no counterbalancing effect [^630^], the probability of a seriously disrupted monsoon has risen materially. For sugar, rice, and cotton — commodities for which India serves as a global swing producer — this represents the most direct near-term price risk.</w:t>
      </w:r>
    </w:p>
    <w:bookmarkEnd w:id="120"/>
    <w:bookmarkStart w:id="121" w:name="X0b100dfd439b10c3a88b5284cbc7931a4eeadeb"/>
    <w:p>
      <w:pPr>
        <w:pStyle w:val="Heading4"/>
      </w:pPr>
      <w:r>
        <w:t xml:space="preserve">6.1.3 Ocean Heat Content: Unprecedented Thermal Reservoir</w:t>
      </w:r>
    </w:p>
    <w:p>
      <w:pPr>
        <w:pStyle w:val="FirstParagraph"/>
      </w:pPr>
      <w:r>
        <w:t xml:space="preserve">The subsurface thermal profile of the equatorial Pacific is without historical precedent. An oceanic Kelvin wave with temperatures 6–8°C above normal at 50–250 meter depth is driving rapid surface warming [^587^][^588^]. Cumulative ocean heat content in the upper 300 meters exceeds levels recorded prior to the 1997–98 and 2015–16 Super El Niño events. While atmospheric feedbacks must still amplify the oceanic signal, this thermal preconditioning materially elevates the probability of rapid intensification.</w:t>
      </w:r>
    </w:p>
    <w:bookmarkEnd w:id="121"/>
    <w:bookmarkEnd w:id="122"/>
    <w:bookmarkStart w:id="127" w:name="scenario-analysis"/>
    <w:p>
      <w:pPr>
        <w:pStyle w:val="Heading3"/>
      </w:pPr>
      <w:r>
        <w:t xml:space="preserve">6.2 Scenario Analysis</w:t>
      </w:r>
    </w:p>
    <w:p>
      <w:pPr>
        <w:pStyle w:val="FirstParagraph"/>
      </w:pPr>
      <w:r>
        <w:t xml:space="preserve">The model translates climate forecasts into commodity price outcomes through a four-scenario probabilistic framework. Each scenario assigns probability weights derived from the ensemble forecast spread, with expected price impacts conditioned on historical analogs adjusted for the structural vulnerability factors identified in preceding chapters.</w:t>
      </w:r>
    </w:p>
    <w:bookmarkStart w:id="123" w:name="Xfc40f5a2759295e7e758703dc5d4758a2b9f948"/>
    <w:p>
      <w:pPr>
        <w:pStyle w:val="Heading4"/>
      </w:pPr>
      <w:r>
        <w:t xml:space="preserve">6.2.1 Base Case (60%): Moderate El Niño (+1.0°C to +1.5°C)</w:t>
      </w:r>
    </w:p>
    <w:p>
      <w:pPr>
        <w:pStyle w:val="FirstParagraph"/>
      </w:pPr>
      <w:r>
        <w:t xml:space="preserve">Under the base case, Niño-3.4 peaks at +1.0°C to +1.5°C during October 2026–February 2027, producing selective but not systemic price effects. Historical analogs include 2002–03 and 2009–10. The model projects a 3–5% uplift in the agricultural commodity index, driven primarily by palm oil (+8–12%) and sugar (+5–8%), with wheat showing modest gains (+3–5%) as Australian dryness tightens exportable supplies. Cocoa’s response is attenuated because the market has already absorbed a substantial supply deficit and prices remain elevated from structural factors.</w:t>
      </w:r>
    </w:p>
    <w:p>
      <w:pPr>
        <w:pStyle w:val="BodyText"/>
      </w:pPr>
      <w:r>
        <w:t xml:space="preserve">Brazil’s soybean and corn production largely offset Southeast Asian shortfalls, consistent with the</w:t>
      </w:r>
      <w:r>
        <w:t xml:space="preserve"> </w:t>
      </w:r>
      <w:r>
        <w:t xml:space="preserve">“</w:t>
      </w:r>
      <w:r>
        <w:t xml:space="preserve">Brazilian Neutrality Paradox</w:t>
      </w:r>
      <w:r>
        <w:t xml:space="preserve">”</w:t>
      </w:r>
      <w:r>
        <w:t xml:space="preserve"> </w:t>
      </w:r>
      <w:r>
        <w:t xml:space="preserve">documented in Chapter 3. Indian monsoon rainfall settles at 85–90% of LPA, sufficient to prevent export restrictions but inadequate to rebuild stockpiles. Primary opportunities reside in palm oil futures and select sugar positions, with natural gas underweight as portfolio ballast.</w:t>
      </w:r>
    </w:p>
    <w:bookmarkEnd w:id="123"/>
    <w:bookmarkStart w:id="124" w:name="bull-case-25-strong-el-niño-1.5c"/>
    <w:p>
      <w:pPr>
        <w:pStyle w:val="Heading4"/>
      </w:pPr>
      <w:r>
        <w:t xml:space="preserve">6.2.2 Bull Case (25%): Strong El Niño (&gt;+1.5°C)</w:t>
      </w:r>
    </w:p>
    <w:p>
      <w:pPr>
        <w:pStyle w:val="FirstParagraph"/>
      </w:pPr>
      <w:r>
        <w:t xml:space="preserve">The bull case envisions Niño-3.4 exceeding +1.5°C, consistent with a strong El Niño comparable to 2015–16. The model projects an 8–12% uplift in the agricultural commodity index. Cocoa and palm oil emerge as primary beneficiaries: cocoa’s projected 2025/26 surplus of ~150,000 tonnes is narrow and rests on a</w:t>
      </w:r>
      <w:r>
        <w:t xml:space="preserve"> </w:t>
      </w:r>
      <w:r>
        <w:t xml:space="preserve">“</w:t>
      </w:r>
      <w:r>
        <w:t xml:space="preserve">biologically weakened and financially constrained production base</w:t>
      </w:r>
      <w:r>
        <w:t xml:space="preserve">”</w:t>
      </w:r>
      <w:r>
        <w:t xml:space="preserve"> </w:t>
      </w:r>
      <w:r>
        <w:t xml:space="preserve">that could rapidly reverse if West African main-crop development is disrupted [^638^]. Palm oil’s 12–24 month production lag means supply impacts would not fully materialize until late 2026–2027, but forward markets would begin pricing the deficit by Q4 2026.</w:t>
      </w:r>
    </w:p>
    <w:p>
      <w:pPr>
        <w:pStyle w:val="BodyText"/>
      </w:pPr>
      <w:r>
        <w:t xml:space="preserve">Sugar provides an additional asymmetric opportunity. The ISO has projected a 2026/27 global deficit of 262,000 tonnes with production falling 1.15% year-on-year to 180 million tonnes [^631^]. A strong El Niño reducing Indian and Thai output further — as Citigroup warned in May 2026 [^631^] — could transform a modest deficit into a severe one. The</w:t>
      </w:r>
      <w:r>
        <w:t xml:space="preserve"> </w:t>
      </w:r>
      <w:r>
        <w:t xml:space="preserve">“</w:t>
      </w:r>
      <w:r>
        <w:t xml:space="preserve">ethanol safety valve</w:t>
      </w:r>
      <w:r>
        <w:t xml:space="preserve">”</w:t>
      </w:r>
      <w:r>
        <w:t xml:space="preserve"> </w:t>
      </w:r>
      <w:r>
        <w:t xml:space="preserve">documented in Chapter 3 provides partial buffering, but simultaneous disruption across India, Thailand, and Brazil would exceed its capacity.</w:t>
      </w:r>
    </w:p>
    <w:p>
      <w:pPr>
        <w:pStyle w:val="BodyText"/>
      </w:pPr>
      <w:r>
        <w:t xml:space="preserve">Wheat markets exhibit particular vulnerability. U.S. wheat ending stocks for 2026/27 are projected at 744 million bushels, approximately 20% below the previous year [^591^], while Australian farmers are already scaling back planting due to shortages of moisture, fertilizer, and fuel [^585^]. The World Bank projects a 31% fertilizer price increase in 2026 [^112^], compounding supply risk. Risilience’s</w:t>
      </w:r>
      <w:r>
        <w:t xml:space="preserve"> </w:t>
      </w:r>
      <w:r>
        <w:t xml:space="preserve">“</w:t>
      </w:r>
      <w:r>
        <w:t xml:space="preserve">Super El Niño</w:t>
      </w:r>
      <w:r>
        <w:t xml:space="preserve">”</w:t>
      </w:r>
      <w:r>
        <w:t xml:space="preserve"> </w:t>
      </w:r>
      <w:r>
        <w:t xml:space="preserve">scenario estimates a −3.7% production impact and $77.5 billion in lost value [^569^].</w:t>
      </w:r>
    </w:p>
    <w:bookmarkEnd w:id="124"/>
    <w:bookmarkStart w:id="125" w:name="extreme-case-10-very-strong-el-niño-2.0c"/>
    <w:p>
      <w:pPr>
        <w:pStyle w:val="Heading4"/>
      </w:pPr>
      <w:r>
        <w:t xml:space="preserve">6.2.3 Extreme Case (10%): Very Strong El Niño (&gt;+2.0°C)</w:t>
      </w:r>
    </w:p>
    <w:p>
      <w:pPr>
        <w:pStyle w:val="FirstParagraph"/>
      </w:pPr>
      <w:r>
        <w:t xml:space="preserve">The extreme case corresponds to NOAA’s 63% probability of Niño-3.4 exceeding +2.0°C [^561^], conditioned on atmospheric feedbacks amplifying the unprecedented oceanic heat. Historical analogs are limited to 1982–83, 1997–98, and 2015–16. The model projects a 15%+ uplift in agricultural commodity prices.</w:t>
      </w:r>
    </w:p>
    <w:p>
      <w:pPr>
        <w:pStyle w:val="BodyText"/>
      </w:pPr>
      <w:r>
        <w:t xml:space="preserve">The Risilience</w:t>
      </w:r>
      <w:r>
        <w:t xml:space="preserve"> </w:t>
      </w:r>
      <w:r>
        <w:t xml:space="preserve">“</w:t>
      </w:r>
      <w:r>
        <w:t xml:space="preserve">Extreme El Niño</w:t>
      </w:r>
      <w:r>
        <w:t xml:space="preserve">”</w:t>
      </w:r>
      <w:r>
        <w:t xml:space="preserve"> </w:t>
      </w:r>
      <w:r>
        <w:t xml:space="preserve">scenario — calibrated to a 1877-analog event — projects a 14.3% decline in global agricultural production and $342.2 billion in lost value, with price shocks of 10–50% across major food crops; rice, palm oil, sugar cane, and coffee face potential surges of 50–100% [^569^]. While this represents tail-risk calibration, the probability is materially nonzero given current oceanic conditions. The ECB’s 2023 analysis estimated a strong El Niño would raise global food commodity prices for up to two years [^599^]. Portfolio implications are stark: full overweight in high-vulnerability tier commodities (cocoa, palm oil, robusta coffee), selective sugar and wheat exposure, and maximum natural gas underweight.</w:t>
      </w:r>
    </w:p>
    <w:bookmarkEnd w:id="125"/>
    <w:bookmarkStart w:id="126" w:name="bear-case-5-event-fails-to-materialize"/>
    <w:p>
      <w:pPr>
        <w:pStyle w:val="Heading4"/>
      </w:pPr>
      <w:r>
        <w:t xml:space="preserve">6.2.4 Bear Case (5%): Event Fails to Materialize</w:t>
      </w:r>
    </w:p>
    <w:p>
      <w:pPr>
        <w:pStyle w:val="FirstParagraph"/>
      </w:pPr>
      <w:r>
        <w:t xml:space="preserve">The bear case assigns a 5% probability to El Niño failing to intensify, either due to a sudden strengthening of the Walker circulation or anomalous mid-latitude forcing. A single academic study using climate network analysis predicted absence of El Niño in 2026 with 91.4% probability [^565^], but this represents a methodological outlier contradicted by all official forecasting centers.</w:t>
      </w:r>
    </w:p>
    <w:p>
      <w:pPr>
        <w:pStyle w:val="BodyText"/>
      </w:pPr>
      <w:r>
        <w:t xml:space="preserve">Under this scenario, commodity markets experience mean reversion as the weather risk premium deflates. Long positions face estimated drawdowns of 5–10%. Palm oil would likely see the sharpest correction given its run-up in anticipation of lagged production deficits. The model incorporates this tail risk through position sizing: no single commodity exposure exceeds 15% of portfolio notional, and natural gas underweight is maintained as a structural hedge regardless of ENSO trajectory.</w:t>
      </w:r>
    </w:p>
    <w:bookmarkEnd w:id="126"/>
    <w:bookmarkEnd w:id="127"/>
    <w:bookmarkStart w:id="128" w:name="risk-monitoring-dashboard"/>
    <w:p>
      <w:pPr>
        <w:pStyle w:val="Heading3"/>
      </w:pPr>
      <w:r>
        <w:t xml:space="preserve">6.3 Risk Monitoring Dashboard</w:t>
      </w:r>
    </w:p>
    <w:p>
      <w:pPr>
        <w:pStyle w:val="FirstParagraph"/>
      </w:pPr>
      <w:r>
        <w:t xml:space="preserve">Effective implementation of the El Niño-commodity strategy requires real-time tracking of specific indicators with predefined trigger points. The following table specifies the monitoring protocol:</w:t>
      </w:r>
    </w:p>
    <w:p>
      <w:pPr>
        <w:pStyle w:val="BodyText"/>
      </w:pPr>
      <w:r>
        <w:rPr>
          <w:bCs/>
          <w:b/>
        </w:rPr>
        <w:t xml:space="preserve">Table 6: Risk Monitoring Dashboard — Indicator Thresholds and Rebalancing Triggers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Indicator</w:t>
            </w:r>
          </w:p>
        </w:tc>
        <w:tc>
          <w:tcPr/>
          <w:p>
            <w:pPr>
              <w:pStyle w:val="Compact"/>
              <w:jc w:val="left"/>
            </w:pPr>
            <w:r>
              <w:t xml:space="preserve">Data Source</w:t>
            </w:r>
          </w:p>
        </w:tc>
        <w:tc>
          <w:tcPr/>
          <w:p>
            <w:pPr>
              <w:pStyle w:val="Compact"/>
              <w:jc w:val="left"/>
            </w:pPr>
            <w:r>
              <w:t xml:space="preserve">Current Reading (June 2026)</w:t>
            </w:r>
          </w:p>
        </w:tc>
        <w:tc>
          <w:tcPr/>
          <w:p>
            <w:pPr>
              <w:pStyle w:val="Compact"/>
              <w:jc w:val="left"/>
            </w:pPr>
            <w:r>
              <w:t xml:space="preserve">Green Zone</w:t>
            </w:r>
          </w:p>
        </w:tc>
        <w:tc>
          <w:tcPr/>
          <w:p>
            <w:pPr>
              <w:pStyle w:val="Compact"/>
              <w:jc w:val="left"/>
            </w:pPr>
            <w:r>
              <w:t xml:space="preserve">Yellow Zone</w:t>
            </w:r>
          </w:p>
        </w:tc>
        <w:tc>
          <w:tcPr/>
          <w:p>
            <w:pPr>
              <w:pStyle w:val="Compact"/>
              <w:jc w:val="left"/>
            </w:pPr>
            <w:r>
              <w:t xml:space="preserve">Red Zone</w:t>
            </w:r>
          </w:p>
        </w:tc>
        <w:tc>
          <w:tcPr/>
          <w:p>
            <w:pPr>
              <w:pStyle w:val="Compact"/>
              <w:jc w:val="left"/>
            </w:pPr>
            <w:r>
              <w:t xml:space="preserve">Portfolio Action</w:t>
            </w:r>
          </w:p>
        </w:tc>
      </w:tr>
      <w:tr>
        <w:tc>
          <w:tcPr/>
          <w:p>
            <w:pPr>
              <w:pStyle w:val="Compact"/>
              <w:jc w:val="left"/>
            </w:pPr>
            <w:r>
              <w:t xml:space="preserve">Niño-3.4 SST Anomaly</w:t>
            </w:r>
          </w:p>
        </w:tc>
        <w:tc>
          <w:tcPr/>
          <w:p>
            <w:pPr>
              <w:pStyle w:val="Compact"/>
              <w:jc w:val="left"/>
            </w:pPr>
            <w:r>
              <w:t xml:space="preserve">NOAA CPC</w:t>
            </w:r>
          </w:p>
        </w:tc>
        <w:tc>
          <w:tcPr/>
          <w:p>
            <w:pPr>
              <w:pStyle w:val="Compact"/>
              <w:jc w:val="left"/>
            </w:pPr>
            <w:r>
              <w:t xml:space="preserve">+0.7°C [^561^]</w:t>
            </w:r>
          </w:p>
        </w:tc>
        <w:tc>
          <w:tcPr/>
          <w:p>
            <w:pPr>
              <w:pStyle w:val="Compact"/>
              <w:jc w:val="left"/>
            </w:pPr>
            <w:r>
              <w:t xml:space="preserve">&lt; +1.0°C</w:t>
            </w:r>
          </w:p>
        </w:tc>
        <w:tc>
          <w:tcPr/>
          <w:p>
            <w:pPr>
              <w:pStyle w:val="Compact"/>
              <w:jc w:val="left"/>
            </w:pPr>
            <w:r>
              <w:t xml:space="preserve">+1.0°C to +1.5°C</w:t>
            </w:r>
          </w:p>
        </w:tc>
        <w:tc>
          <w:tcPr/>
          <w:p>
            <w:pPr>
              <w:pStyle w:val="Compact"/>
              <w:jc w:val="left"/>
            </w:pPr>
            <w:r>
              <w:t xml:space="preserve">&gt; +1.5°C</w:t>
            </w:r>
          </w:p>
        </w:tc>
        <w:tc>
          <w:tcPr/>
          <w:p>
            <w:pPr>
              <w:pStyle w:val="Compact"/>
              <w:jc w:val="left"/>
            </w:pPr>
            <w:r>
              <w:t xml:space="preserve">Scale to bull case at yellow; extreme case at red</w:t>
            </w:r>
          </w:p>
        </w:tc>
      </w:tr>
      <w:tr>
        <w:tc>
          <w:tcPr/>
          <w:p>
            <w:pPr>
              <w:pStyle w:val="Compact"/>
              <w:jc w:val="left"/>
            </w:pPr>
            <w:r>
              <w:t xml:space="preserve">Niño-1+2 Index</w:t>
            </w:r>
          </w:p>
        </w:tc>
        <w:tc>
          <w:tcPr/>
          <w:p>
            <w:pPr>
              <w:pStyle w:val="Compact"/>
              <w:jc w:val="left"/>
            </w:pPr>
            <w:r>
              <w:t xml:space="preserve">NOAA CPC</w:t>
            </w:r>
          </w:p>
        </w:tc>
        <w:tc>
          <w:tcPr/>
          <w:p>
            <w:pPr>
              <w:pStyle w:val="Compact"/>
              <w:jc w:val="left"/>
            </w:pPr>
            <w:r>
              <w:t xml:space="preserve">+2.1°C [^561^]</w:t>
            </w:r>
          </w:p>
        </w:tc>
        <w:tc>
          <w:tcPr/>
          <w:p>
            <w:pPr>
              <w:pStyle w:val="Compact"/>
              <w:jc w:val="left"/>
            </w:pPr>
            <w:r>
              <w:t xml:space="preserve">&lt; +1.5°C</w:t>
            </w:r>
          </w:p>
        </w:tc>
        <w:tc>
          <w:tcPr/>
          <w:p>
            <w:pPr>
              <w:pStyle w:val="Compact"/>
              <w:jc w:val="left"/>
            </w:pPr>
            <w:r>
              <w:t xml:space="preserve">+1.5°C to +2.5°C</w:t>
            </w:r>
          </w:p>
        </w:tc>
        <w:tc>
          <w:tcPr/>
          <w:p>
            <w:pPr>
              <w:pStyle w:val="Compact"/>
              <w:jc w:val="left"/>
            </w:pPr>
            <w:r>
              <w:t xml:space="preserve">&gt; +2.5°C</w:t>
            </w:r>
          </w:p>
        </w:tc>
        <w:tc>
          <w:tcPr/>
          <w:p>
            <w:pPr>
              <w:pStyle w:val="Compact"/>
              <w:jc w:val="left"/>
            </w:pPr>
            <w:r>
              <w:t xml:space="preserve">Leading indicator for rapid intensification</w:t>
            </w:r>
          </w:p>
        </w:tc>
      </w:tr>
      <w:tr>
        <w:tc>
          <w:tcPr/>
          <w:p>
            <w:pPr>
              <w:pStyle w:val="Compact"/>
              <w:jc w:val="left"/>
            </w:pPr>
            <w:r>
              <w:t xml:space="preserve">Indian Monsoon (Jun–Sep)</w:t>
            </w:r>
          </w:p>
        </w:tc>
        <w:tc>
          <w:tcPr/>
          <w:p>
            <w:pPr>
              <w:pStyle w:val="Compact"/>
              <w:jc w:val="left"/>
            </w:pPr>
            <w:r>
              <w:t xml:space="preserve">IMD</w:t>
            </w:r>
          </w:p>
        </w:tc>
        <w:tc>
          <w:tcPr/>
          <w:p>
            <w:pPr>
              <w:pStyle w:val="Compact"/>
              <w:jc w:val="left"/>
            </w:pPr>
            <w:r>
              <w:t xml:space="preserve">39% below normal (Jun) [^635^]</w:t>
            </w:r>
          </w:p>
        </w:tc>
        <w:tc>
          <w:tcPr/>
          <w:p>
            <w:pPr>
              <w:pStyle w:val="Compact"/>
              <w:jc w:val="left"/>
            </w:pPr>
            <w:r>
              <w:t xml:space="preserve">&gt; 95% LPA</w:t>
            </w:r>
          </w:p>
        </w:tc>
        <w:tc>
          <w:tcPr/>
          <w:p>
            <w:pPr>
              <w:pStyle w:val="Compact"/>
              <w:jc w:val="left"/>
            </w:pPr>
            <w:r>
              <w:t xml:space="preserve">85–95% LPA</w:t>
            </w:r>
          </w:p>
        </w:tc>
        <w:tc>
          <w:tcPr/>
          <w:p>
            <w:pPr>
              <w:pStyle w:val="Compact"/>
              <w:jc w:val="left"/>
            </w:pPr>
            <w:r>
              <w:t xml:space="preserve">&lt; 85% LPA</w:t>
            </w:r>
          </w:p>
        </w:tc>
        <w:tc>
          <w:tcPr/>
          <w:p>
            <w:pPr>
              <w:pStyle w:val="Compact"/>
              <w:jc w:val="left"/>
            </w:pPr>
            <w:r>
              <w:t xml:space="preserve">Increase sugar/rice/cotton exposure at yellow; maximum at red</w:t>
            </w:r>
          </w:p>
        </w:tc>
      </w:tr>
      <w:tr>
        <w:tc>
          <w:tcPr/>
          <w:p>
            <w:pPr>
              <w:pStyle w:val="Compact"/>
              <w:jc w:val="left"/>
            </w:pPr>
            <w:r>
              <w:t xml:space="preserve">IMD El Niño Declaration</w:t>
            </w:r>
          </w:p>
        </w:tc>
        <w:tc>
          <w:tcPr/>
          <w:p>
            <w:pPr>
              <w:pStyle w:val="Compact"/>
              <w:jc w:val="left"/>
            </w:pPr>
            <w:r>
              <w:t xml:space="preserve">IMD</w:t>
            </w:r>
          </w:p>
        </w:tc>
        <w:tc>
          <w:tcPr/>
          <w:p>
            <w:pPr>
              <w:pStyle w:val="Compact"/>
              <w:jc w:val="left"/>
            </w:pPr>
            <w:r>
              <w:t xml:space="preserve">Declared Jun 12 [^629^]</w:t>
            </w:r>
          </w:p>
        </w:tc>
        <w:tc>
          <w:tcPr/>
          <w:p>
            <w:pPr>
              <w:pStyle w:val="Compact"/>
              <w:jc w:val="left"/>
            </w:pPr>
            <w:r>
              <w:t xml:space="preserve">Neutral</w:t>
            </w:r>
          </w:p>
        </w:tc>
        <w:tc>
          <w:tcPr/>
          <w:p>
            <w:pPr>
              <w:pStyle w:val="Compact"/>
              <w:jc w:val="left"/>
            </w:pPr>
            <w:r>
              <w:t xml:space="preserve">Watch</w:t>
            </w:r>
          </w:p>
        </w:tc>
        <w:tc>
          <w:tcPr/>
          <w:p>
            <w:pPr>
              <w:pStyle w:val="Compact"/>
              <w:jc w:val="left"/>
            </w:pPr>
            <w:r>
              <w:t xml:space="preserve">Declared</w:t>
            </w:r>
          </w:p>
        </w:tc>
        <w:tc>
          <w:tcPr/>
          <w:p>
            <w:pPr>
              <w:pStyle w:val="Compact"/>
              <w:jc w:val="left"/>
            </w:pPr>
            <w:r>
              <w:t xml:space="preserve">Reassess all India-exposed positions</w:t>
            </w:r>
          </w:p>
        </w:tc>
      </w:tr>
      <w:tr>
        <w:tc>
          <w:tcPr/>
          <w:p>
            <w:pPr>
              <w:pStyle w:val="Compact"/>
              <w:jc w:val="left"/>
            </w:pPr>
            <w:r>
              <w:t xml:space="preserve">ONI Weekly Trend</w:t>
            </w:r>
          </w:p>
        </w:tc>
        <w:tc>
          <w:tcPr/>
          <w:p>
            <w:pPr>
              <w:pStyle w:val="Compact"/>
              <w:jc w:val="left"/>
            </w:pPr>
            <w:r>
              <w:t xml:space="preserve">NOAA CPC</w:t>
            </w:r>
          </w:p>
        </w:tc>
        <w:tc>
          <w:tcPr/>
          <w:p>
            <w:pPr>
              <w:pStyle w:val="Compact"/>
              <w:jc w:val="left"/>
            </w:pPr>
            <w:r>
              <w:t xml:space="preserve">Rising [^561^]</w:t>
            </w:r>
          </w:p>
        </w:tc>
        <w:tc>
          <w:tcPr/>
          <w:p>
            <w:pPr>
              <w:pStyle w:val="Compact"/>
              <w:jc w:val="left"/>
            </w:pPr>
            <w:r>
              <w:t xml:space="preserve">Stable</w:t>
            </w:r>
          </w:p>
        </w:tc>
        <w:tc>
          <w:tcPr/>
          <w:p>
            <w:pPr>
              <w:pStyle w:val="Compact"/>
              <w:jc w:val="left"/>
            </w:pPr>
            <w:r>
              <w:t xml:space="preserve">Rising 0.1°C/mo</w:t>
            </w:r>
          </w:p>
        </w:tc>
        <w:tc>
          <w:tcPr/>
          <w:p>
            <w:pPr>
              <w:pStyle w:val="Compact"/>
              <w:jc w:val="left"/>
            </w:pPr>
            <w:r>
              <w:t xml:space="preserve">Rising &gt;0.2°C/mo</w:t>
            </w:r>
          </w:p>
        </w:tc>
        <w:tc>
          <w:tcPr/>
          <w:p>
            <w:pPr>
              <w:pStyle w:val="Compact"/>
              <w:jc w:val="left"/>
            </w:pPr>
            <w:r>
              <w:t xml:space="preserve">Accelerate position building on rapid rise</w:t>
            </w:r>
          </w:p>
        </w:tc>
      </w:tr>
      <w:tr>
        <w:tc>
          <w:tcPr/>
          <w:p>
            <w:pPr>
              <w:pStyle w:val="Compact"/>
              <w:jc w:val="left"/>
            </w:pPr>
            <w:r>
              <w:t xml:space="preserve">Brazil Soil Moisture</w:t>
            </w:r>
          </w:p>
        </w:tc>
        <w:tc>
          <w:tcPr/>
          <w:p>
            <w:pPr>
              <w:pStyle w:val="Compact"/>
              <w:jc w:val="left"/>
            </w:pPr>
            <w:r>
              <w:t xml:space="preserve">CONAB/CPC</w:t>
            </w:r>
          </w:p>
        </w:tc>
        <w:tc>
          <w:tcPr/>
          <w:p>
            <w:pPr>
              <w:pStyle w:val="Compact"/>
              <w:jc w:val="left"/>
            </w:pPr>
            <w:r>
              <w:t xml:space="preserve">Mixed</w:t>
            </w:r>
          </w:p>
        </w:tc>
        <w:tc>
          <w:tcPr/>
          <w:p>
            <w:pPr>
              <w:pStyle w:val="Compact"/>
              <w:jc w:val="left"/>
            </w:pPr>
            <w:r>
              <w:t xml:space="preserve">Normal</w:t>
            </w:r>
          </w:p>
        </w:tc>
        <w:tc>
          <w:tcPr/>
          <w:p>
            <w:pPr>
              <w:pStyle w:val="Compact"/>
              <w:jc w:val="left"/>
            </w:pPr>
            <w:r>
              <w:t xml:space="preserve">Below 40th pctile</w:t>
            </w:r>
          </w:p>
        </w:tc>
        <w:tc>
          <w:tcPr/>
          <w:p>
            <w:pPr>
              <w:pStyle w:val="Compact"/>
              <w:jc w:val="left"/>
            </w:pPr>
            <w:r>
              <w:t xml:space="preserve">Below 20th pctile</w:t>
            </w:r>
          </w:p>
        </w:tc>
        <w:tc>
          <w:tcPr/>
          <w:p>
            <w:pPr>
              <w:pStyle w:val="Compact"/>
              <w:jc w:val="left"/>
            </w:pPr>
            <w:r>
              <w:t xml:space="preserve">Reduce soybean optimism; monitor safrinha corn</w:t>
            </w:r>
          </w:p>
        </w:tc>
      </w:tr>
      <w:tr>
        <w:tc>
          <w:tcPr/>
          <w:p>
            <w:pPr>
              <w:pStyle w:val="Compact"/>
              <w:jc w:val="left"/>
            </w:pPr>
            <w:r>
              <w:t xml:space="preserve">COT Net Long (Ag Aggregate)</w:t>
            </w:r>
          </w:p>
        </w:tc>
        <w:tc>
          <w:tcPr/>
          <w:p>
            <w:pPr>
              <w:pStyle w:val="Compact"/>
              <w:jc w:val="left"/>
            </w:pPr>
            <w:r>
              <w:t xml:space="preserve">CFTC</w:t>
            </w:r>
          </w:p>
        </w:tc>
        <w:tc>
          <w:tcPr/>
          <w:p>
            <w:pPr>
              <w:pStyle w:val="Compact"/>
              <w:jc w:val="left"/>
            </w:pPr>
            <w:r>
              <w:t xml:space="preserve">−330K from peak [^592^]</w:t>
            </w:r>
          </w:p>
        </w:tc>
        <w:tc>
          <w:tcPr/>
          <w:p>
            <w:pPr>
              <w:pStyle w:val="Compact"/>
              <w:jc w:val="left"/>
            </w:pPr>
            <w:r>
              <w:t xml:space="preserve">&gt; 200K</w:t>
            </w:r>
          </w:p>
        </w:tc>
        <w:tc>
          <w:tcPr/>
          <w:p>
            <w:pPr>
              <w:pStyle w:val="Compact"/>
              <w:jc w:val="left"/>
            </w:pPr>
            <w:r>
              <w:t xml:space="preserve">50–200K</w:t>
            </w:r>
          </w:p>
        </w:tc>
        <w:tc>
          <w:tcPr/>
          <w:p>
            <w:pPr>
              <w:pStyle w:val="Compact"/>
              <w:jc w:val="left"/>
            </w:pPr>
            <w:r>
              <w:t xml:space="preserve">&lt; 50K</w:t>
            </w:r>
          </w:p>
        </w:tc>
        <w:tc>
          <w:tcPr/>
          <w:p>
            <w:pPr>
              <w:pStyle w:val="Compact"/>
              <w:jc w:val="left"/>
            </w:pPr>
            <w:r>
              <w:t xml:space="preserve">Positioning reversal opportunity at red</w:t>
            </w:r>
          </w:p>
        </w:tc>
      </w:tr>
      <w:tr>
        <w:tc>
          <w:tcPr/>
          <w:p>
            <w:pPr>
              <w:pStyle w:val="Compact"/>
              <w:jc w:val="left"/>
            </w:pPr>
            <w:r>
              <w:t xml:space="preserve">Managed Money Corn Net</w:t>
            </w:r>
          </w:p>
        </w:tc>
        <w:tc>
          <w:tcPr/>
          <w:p>
            <w:pPr>
              <w:pStyle w:val="Compact"/>
              <w:jc w:val="left"/>
            </w:pPr>
            <w:r>
              <w:t xml:space="preserve">CFTC</w:t>
            </w:r>
          </w:p>
        </w:tc>
        <w:tc>
          <w:tcPr/>
          <w:p>
            <w:pPr>
              <w:pStyle w:val="Compact"/>
              <w:jc w:val="left"/>
            </w:pPr>
            <w:r>
              <w:t xml:space="preserve">−69,691 [^586^]</w:t>
            </w:r>
          </w:p>
        </w:tc>
        <w:tc>
          <w:tcPr/>
          <w:p>
            <w:pPr>
              <w:pStyle w:val="Compact"/>
              <w:jc w:val="left"/>
            </w:pPr>
            <w:r>
              <w:t xml:space="preserve">Long &gt; 100K</w:t>
            </w:r>
          </w:p>
        </w:tc>
        <w:tc>
          <w:tcPr/>
          <w:p>
            <w:pPr>
              <w:pStyle w:val="Compact"/>
              <w:jc w:val="left"/>
            </w:pPr>
            <w:r>
              <w:t xml:space="preserve">−50K to +100K</w:t>
            </w:r>
          </w:p>
        </w:tc>
        <w:tc>
          <w:tcPr/>
          <w:p>
            <w:pPr>
              <w:pStyle w:val="Compact"/>
              <w:jc w:val="left"/>
            </w:pPr>
            <w:r>
              <w:t xml:space="preserve">&lt; −100K</w:t>
            </w:r>
          </w:p>
        </w:tc>
        <w:tc>
          <w:tcPr/>
          <w:p>
            <w:pPr>
              <w:pStyle w:val="Compact"/>
              <w:jc w:val="left"/>
            </w:pPr>
            <w:r>
              <w:t xml:space="preserve">Contrarian long trigger at red</w:t>
            </w:r>
          </w:p>
        </w:tc>
      </w:tr>
      <w:tr>
        <w:tc>
          <w:tcPr/>
          <w:p>
            <w:pPr>
              <w:pStyle w:val="Compact"/>
              <w:jc w:val="left"/>
            </w:pPr>
            <w:r>
              <w:t xml:space="preserve">FAO Food Price Index</w:t>
            </w:r>
          </w:p>
        </w:tc>
        <w:tc>
          <w:tcPr/>
          <w:p>
            <w:pPr>
              <w:pStyle w:val="Compact"/>
              <w:jc w:val="left"/>
            </w:pPr>
            <w:r>
              <w:t xml:space="preserve">FAO</w:t>
            </w:r>
          </w:p>
        </w:tc>
        <w:tc>
          <w:tcPr/>
          <w:p>
            <w:pPr>
              <w:pStyle w:val="Compact"/>
              <w:jc w:val="left"/>
            </w:pPr>
            <w:r>
              <w:t xml:space="preserve">130.3 [^557^]</w:t>
            </w:r>
          </w:p>
        </w:tc>
        <w:tc>
          <w:tcPr/>
          <w:p>
            <w:pPr>
              <w:pStyle w:val="Compact"/>
              <w:jc w:val="left"/>
            </w:pPr>
            <w:r>
              <w:t xml:space="preserve">Stable</w:t>
            </w:r>
          </w:p>
        </w:tc>
        <w:tc>
          <w:tcPr/>
          <w:p>
            <w:pPr>
              <w:pStyle w:val="Compact"/>
              <w:jc w:val="left"/>
            </w:pPr>
            <w:r>
              <w:t xml:space="preserve">Rising 1%/mo</w:t>
            </w:r>
          </w:p>
        </w:tc>
        <w:tc>
          <w:tcPr/>
          <w:p>
            <w:pPr>
              <w:pStyle w:val="Compact"/>
              <w:jc w:val="left"/>
            </w:pPr>
            <w:r>
              <w:t xml:space="preserve">Rising &gt;2%/mo</w:t>
            </w:r>
          </w:p>
        </w:tc>
        <w:tc>
          <w:tcPr/>
          <w:p>
            <w:pPr>
              <w:pStyle w:val="Compact"/>
              <w:jc w:val="left"/>
            </w:pPr>
            <w:r>
              <w:t xml:space="preserve">Confirming signal; not predictive</w:t>
            </w:r>
          </w:p>
        </w:tc>
      </w:tr>
      <w:tr>
        <w:tc>
          <w:tcPr/>
          <w:p>
            <w:pPr>
              <w:pStyle w:val="Compact"/>
              <w:jc w:val="left"/>
            </w:pPr>
            <w:r>
              <w:t xml:space="preserve">Fertilizer Price Index</w:t>
            </w:r>
          </w:p>
        </w:tc>
        <w:tc>
          <w:tcPr/>
          <w:p>
            <w:pPr>
              <w:pStyle w:val="Compact"/>
              <w:jc w:val="left"/>
            </w:pPr>
            <w:r>
              <w:t xml:space="preserve">World Bank</w:t>
            </w:r>
          </w:p>
        </w:tc>
        <w:tc>
          <w:tcPr/>
          <w:p>
            <w:pPr>
              <w:pStyle w:val="Compact"/>
              <w:jc w:val="left"/>
            </w:pPr>
            <w:r>
              <w:t xml:space="preserve">Rising [^112^]</w:t>
            </w:r>
          </w:p>
        </w:tc>
        <w:tc>
          <w:tcPr/>
          <w:p>
            <w:pPr>
              <w:pStyle w:val="Compact"/>
              <w:jc w:val="left"/>
            </w:pPr>
            <w:r>
              <w:t xml:space="preserve">Stable</w:t>
            </w:r>
          </w:p>
        </w:tc>
        <w:tc>
          <w:tcPr/>
          <w:p>
            <w:pPr>
              <w:pStyle w:val="Compact"/>
              <w:jc w:val="left"/>
            </w:pPr>
            <w:r>
              <w:t xml:space="preserve">+10–20% y/y</w:t>
            </w:r>
          </w:p>
        </w:tc>
        <w:tc>
          <w:tcPr/>
          <w:p>
            <w:pPr>
              <w:pStyle w:val="Compact"/>
              <w:jc w:val="left"/>
            </w:pPr>
            <w:r>
              <w:t xml:space="preserve">&gt; +30% y/y</w:t>
            </w:r>
          </w:p>
        </w:tc>
        <w:tc>
          <w:tcPr/>
          <w:p>
            <w:pPr>
              <w:pStyle w:val="Compact"/>
              <w:jc w:val="left"/>
            </w:pPr>
            <w:r>
              <w:t xml:space="preserve">Amplifies all agricultural supply risks</w:t>
            </w:r>
          </w:p>
        </w:tc>
      </w:tr>
      <w:tr>
        <w:tc>
          <w:tcPr/>
          <w:p>
            <w:pPr>
              <w:pStyle w:val="Compact"/>
              <w:jc w:val="left"/>
            </w:pPr>
            <w:r>
              <w:t xml:space="preserve">ECMWF SEAS5 Ensemble Mean</w:t>
            </w:r>
          </w:p>
        </w:tc>
        <w:tc>
          <w:tcPr/>
          <w:p>
            <w:pPr>
              <w:pStyle w:val="Compact"/>
              <w:jc w:val="left"/>
            </w:pPr>
            <w:r>
              <w:t xml:space="preserve">ECMWF/C3S</w:t>
            </w:r>
          </w:p>
        </w:tc>
        <w:tc>
          <w:tcPr/>
          <w:p>
            <w:pPr>
              <w:pStyle w:val="Compact"/>
              <w:jc w:val="left"/>
            </w:pPr>
            <w:r>
              <w:t xml:space="preserve">&gt; +2.0°C by Aug–Oct [^587^]</w:t>
            </w:r>
          </w:p>
        </w:tc>
        <w:tc>
          <w:tcPr/>
          <w:p>
            <w:pPr>
              <w:pStyle w:val="Compact"/>
              <w:jc w:val="left"/>
            </w:pPr>
            <w:r>
              <w:t xml:space="preserve">&lt; +1.5°C</w:t>
            </w:r>
          </w:p>
        </w:tc>
        <w:tc>
          <w:tcPr/>
          <w:p>
            <w:pPr>
              <w:pStyle w:val="Compact"/>
              <w:jc w:val="left"/>
            </w:pPr>
            <w:r>
              <w:t xml:space="preserve">+1.5°C to +2.0°C</w:t>
            </w:r>
          </w:p>
        </w:tc>
        <w:tc>
          <w:tcPr/>
          <w:p>
            <w:pPr>
              <w:pStyle w:val="Compact"/>
              <w:jc w:val="left"/>
            </w:pPr>
            <w:r>
              <w:t xml:space="preserve">&gt; +2.0°C</w:t>
            </w:r>
          </w:p>
        </w:tc>
        <w:tc>
          <w:tcPr/>
          <w:p>
            <w:pPr>
              <w:pStyle w:val="Compact"/>
              <w:jc w:val="left"/>
            </w:pPr>
            <w:r>
              <w:t xml:space="preserve">Primary model guidance for scenario weighting</w:t>
            </w:r>
          </w:p>
        </w:tc>
      </w:tr>
      <w:tr>
        <w:tc>
          <w:tcPr/>
          <w:p>
            <w:pPr>
              <w:pStyle w:val="Compact"/>
              <w:jc w:val="left"/>
            </w:pPr>
            <w:r>
              <w:t xml:space="preserve">IRI Model Plume Consensus</w:t>
            </w:r>
          </w:p>
        </w:tc>
        <w:tc>
          <w:tcPr/>
          <w:p>
            <w:pPr>
              <w:pStyle w:val="Compact"/>
              <w:jc w:val="left"/>
            </w:pPr>
            <w:r>
              <w:t xml:space="preserve">IRI/Columbia</w:t>
            </w:r>
          </w:p>
        </w:tc>
        <w:tc>
          <w:tcPr/>
          <w:p>
            <w:pPr>
              <w:pStyle w:val="Compact"/>
              <w:jc w:val="left"/>
            </w:pPr>
            <w:r>
              <w:t xml:space="preserve">&gt; +2.0°C by Jul–Sep [^563^]</w:t>
            </w:r>
          </w:p>
        </w:tc>
        <w:tc>
          <w:tcPr/>
          <w:p>
            <w:pPr>
              <w:pStyle w:val="Compact"/>
              <w:jc w:val="left"/>
            </w:pPr>
            <w:r>
              <w:t xml:space="preserve">Disagreement</w:t>
            </w:r>
          </w:p>
        </w:tc>
        <w:tc>
          <w:tcPr/>
          <w:p>
            <w:pPr>
              <w:pStyle w:val="Compact"/>
              <w:jc w:val="left"/>
            </w:pPr>
            <w:r>
              <w:t xml:space="preserve">Moderate agreement</w:t>
            </w:r>
          </w:p>
        </w:tc>
        <w:tc>
          <w:tcPr/>
          <w:p>
            <w:pPr>
              <w:pStyle w:val="Compact"/>
              <w:jc w:val="left"/>
            </w:pPr>
            <w:r>
              <w:t xml:space="preserve">Strong agreement</w:t>
            </w:r>
          </w:p>
        </w:tc>
        <w:tc>
          <w:tcPr/>
          <w:p>
            <w:pPr>
              <w:pStyle w:val="Compact"/>
              <w:jc w:val="left"/>
            </w:pPr>
            <w:r>
              <w:t xml:space="preserve">Increase confidence in bull/extreme cases</w:t>
            </w:r>
          </w:p>
        </w:tc>
      </w:tr>
    </w:tbl>
    <w:p>
      <w:pPr>
        <w:pStyle w:val="BodyText"/>
      </w:pPr>
      <w:r>
        <w:t xml:space="preserve">The monitoring framework operates on cascading logic. Weekly NOAA ONI reports and CFTC Commitment of Traders data provide high-frequency positioning signals, while monthly IMD monsoon assessments and ECMWF seasonal runs provide the climate trajectory. The critical rebalancing trigger is the confluence of two or more indicators entering yellow or red zones simultaneously — Niño-3.4 crossing +1.5°C while Indian monsoon falls below 85% of LPA would trigger immediate scaling to the bull case.</w:t>
      </w:r>
    </w:p>
    <w:p>
      <w:pPr>
        <w:pStyle w:val="BodyText"/>
      </w:pPr>
      <w:r>
        <w:t xml:space="preserve">Managed Money positioning data deserves particular attention. Funds have reduced aggregate agricultural net long by 330,000 contracts (52%) from mid-2026 peaks, pulling back from the largest net long since at least 2016 [^592^]. This liquidation occurred even as NOAA forecast a 63% probability of very strong El Niño, suggesting a</w:t>
      </w:r>
      <w:r>
        <w:t xml:space="preserve"> </w:t>
      </w:r>
      <w:r>
        <w:t xml:space="preserve">“</w:t>
      </w:r>
      <w:r>
        <w:t xml:space="preserve">positioning reversal opportunity</w:t>
      </w:r>
      <w:r>
        <w:t xml:space="preserve">”</w:t>
      </w:r>
      <w:r>
        <w:t xml:space="preserve"> </w:t>
      </w:r>
      <w:r>
        <w:t xml:space="preserve">[^2^]. If El Niño intensifies as forecast, funds re-establishing long positions in thin markets could generate sharp discontinuities — particularly in cocoa and palm oil where concentration amplification effects are strongest.</w:t>
      </w:r>
    </w:p>
    <w:p>
      <w:pPr>
        <w:pStyle w:val="BodyText"/>
      </w:pPr>
      <w:r>
        <w:t xml:space="preserve">The World Bank’s April 2026 Commodity Markets Outlook projects a 2.5% food price increase for 2026, with risks</w:t>
      </w:r>
      <w:r>
        <w:t xml:space="preserve"> </w:t>
      </w:r>
      <w:r>
        <w:t xml:space="preserve">“</w:t>
      </w:r>
      <w:r>
        <w:t xml:space="preserve">firmly tilted to the upside</w:t>
      </w:r>
      <w:r>
        <w:t xml:space="preserve">”</w:t>
      </w:r>
      <w:r>
        <w:t xml:space="preserve"> </w:t>
      </w:r>
      <w:r>
        <w:t xml:space="preserve">[^589^]. Goldman Sachs forecasts a 5% agriculture commodity rise (BCOM index) [^634^], while Oxford Economics projects a 0.9% decline in the broader S&amp;P GSCI [^636^]. The model synthesizes these views through scenario-weighted expected returns, assigning greatest weight to base and bull cases given current forecast consensus.</w:t>
      </w:r>
    </w:p>
    <w:p>
      <w:pPr>
        <w:pStyle w:val="BodyText"/>
      </w:pPr>
      <w:r>
        <w:t xml:space="preserve">For institutional implementation, the dashboard should be reviewed weekly with pre-authorized rebalancing triggers enabling rapid response. The 16-month impulse response peak identified in Chapter 4 implies positions sized in Q3 2026 will capture maximum expected price impact during Q4 2026 through Q1 2027, with holding periods extending through mid-2027 for palm oil given its characteristic production lag.</w:t>
      </w:r>
    </w:p>
    <w:p>
      <w:r>
        <w:pict>
          <v:rect style="width:0;height:1.5pt" o:hralign="center" o:hrstd="t" o:hr="t"/>
        </w:pict>
      </w:r>
    </w:p>
    <w:bookmarkEnd w:id="128"/>
    <w:bookmarkEnd w:id="129"/>
    <w:bookmarkStart w:id="133" w:name="X6300917c020c97b8024c5e1351183a4e319f347"/>
    <w:p>
      <w:pPr>
        <w:pStyle w:val="Heading2"/>
      </w:pPr>
      <w:r>
        <w:t xml:space="preserve">7. Conclusion and Model Implementation Guide</w:t>
      </w:r>
    </w:p>
    <w:bookmarkStart w:id="130" w:name="key-conclusions"/>
    <w:p>
      <w:pPr>
        <w:pStyle w:val="Heading3"/>
      </w:pPr>
      <w:r>
        <w:t xml:space="preserve">7.1 Key Conclusions</w:t>
      </w:r>
    </w:p>
    <w:p>
      <w:pPr>
        <w:pStyle w:val="FirstParagraph"/>
      </w:pPr>
      <w:r>
        <w:t xml:space="preserve">This analysis has established that El Niño–Southern Oscillation (ENSO) cycles generate quantifiable, tradeable price impacts across global commodity markets. The evidence, drawn from central bank research, peer-reviewed literature, and decades of price data, supports three principal conclusions that inform both risk management and active positioning.</w:t>
      </w:r>
    </w:p>
    <w:p>
      <w:pPr>
        <w:pStyle w:val="BodyText"/>
      </w:pPr>
      <w:r>
        <w:rPr>
          <w:bCs/>
          <w:b/>
        </w:rPr>
        <w:t xml:space="preserve">First, El Niño creates measurable and predictable commodity price impacts that can be operationalized through a multi-layer modeling framework.</w:t>
      </w:r>
      <w:r>
        <w:t xml:space="preserve"> </w:t>
      </w:r>
      <w:r>
        <w:t xml:space="preserve">The model architecture developed in preceding chapters—ENSO Index $ o$ Production Impact $ o$ Supply-Price Transmission $ o$ Spillovers $ o$ Portfolio Effects—captures approximately 20% of commodity price inflation movements [^1^], with strong El Niño events raising non-energy commodity prices by an estimated 5% [^2^] and food prices by up to 9% [^3^]. The impulse response functions shown in Figure 3 (see</w:t>
      </w:r>
      <w:r>
        <w:t xml:space="preserve"> </w:t>
      </w:r>
      <w:r>
        <w:rPr>
          <w:rStyle w:val="VerbatimChar"/>
        </w:rPr>
        <w:t xml:space="preserve">/mnt/agents/output/chart3_impulse_response.png</w:t>
      </w:r>
      <w:r>
        <w:t xml:space="preserve">) demonstrate that these effects peak at 16 months for agricultural commodities and 6–10 months for energy contracts, providing a well-defined temporal window for position management. The five-layer architecture is not merely descriptive; each layer introduces a quantifiable parameter—sensitivity coefficients, concentration weights, stockpile thresholds, correlation matrices, and volatility caps—that permits full numerical implementation without proprietary data.</w:t>
      </w:r>
    </w:p>
    <w:p>
      <w:pPr>
        <w:pStyle w:val="BodyText"/>
      </w:pPr>
      <w:r>
        <w:rPr>
          <w:bCs/>
          <w:b/>
        </w:rPr>
        <w:t xml:space="preserve">Second, production concentration in exposed regions is the primary amplification mechanism, not weather severity alone.</w:t>
      </w:r>
      <w:r>
        <w:t xml:space="preserve"> </w:t>
      </w:r>
      <w:r>
        <w:t xml:space="preserve">The commodity vulnerability rankings presented in Figure 1 (see</w:t>
      </w:r>
      <w:r>
        <w:t xml:space="preserve"> </w:t>
      </w:r>
      <w:r>
        <w:rPr>
          <w:rStyle w:val="VerbatimChar"/>
        </w:rPr>
        <w:t xml:space="preserve">/mnt/agents/output/chart1_commodity_ranking.png</w:t>
      </w:r>
      <w:r>
        <w:t xml:space="preserve">) reveal that cocoa (CVScore 5.72) and palm oil (5.42) rank highest not because their growing regions experience the most extreme rainfall anomalies, but because global supply depends so heavily on single-source geographies: approximately 70% of cocoa originates from West Africa [^14^] and 83% of palm oil from Indonesia and Malaysia [^4^]. When these concentrated regions are disrupted, the lack of alternative supply sources creates a nonlinear concentration premium that amplifies price responses beyond what weather magnitude alone would predict. Brazil’s partial offsetting role—the</w:t>
      </w:r>
      <w:r>
        <w:t xml:space="preserve"> </w:t>
      </w:r>
      <w:r>
        <w:t xml:space="preserve">“</w:t>
      </w:r>
      <w:r>
        <w:t xml:space="preserve">Brazilian neutrality</w:t>
      </w:r>
      <w:r>
        <w:t xml:space="preserve">”</w:t>
      </w:r>
      <w:r>
        <w:t xml:space="preserve"> </w:t>
      </w:r>
      <w:r>
        <w:t xml:space="preserve">effect—mitigates this for soybeans and arabica coffee, but the safrinha corn planting window vulnerability and logistical constraints during wet harvests limit the reliability of this buffer. Investors should therefore weight geographic concentration more heavily than weather anomaly forecasts when constructing El Niño-sensitive portfolios.</w:t>
      </w:r>
    </w:p>
    <w:p>
      <w:pPr>
        <w:pStyle w:val="BodyText"/>
      </w:pPr>
      <w:r>
        <w:rPr>
          <w:bCs/>
          <w:b/>
        </w:rPr>
        <w:t xml:space="preserve">Third, the developing 2026 event presents a high-conviction opportunity set, but execution timing and position sizing are critical.</w:t>
      </w:r>
      <w:r>
        <w:t xml:space="preserve"> </w:t>
      </w:r>
      <w:r>
        <w:t xml:space="preserve">With all official forecasting centers (NOAA, WMO, IRI, ECMWF) projecting a greater than 90% probability of El Niño development [^5^] [^6^], and NOAA assigning a 63% chance of a very strong event exceeding 2.0°C sea-surface anomaly, the directional signal is unusually strong. However, the 2026 positioning recommendations—overweight cocoa (+10%), palm oil (+8%), robusta coffee (+6%); underweight natural gas (-8%)—must be implemented with strict risk discipline: a 15% maximum single-commodity allocation, a -10% stop-loss trigger, and a 20% portfolio volatility cap. The scenario analysis presented in Figure 6 (see</w:t>
      </w:r>
      <w:r>
        <w:t xml:space="preserve"> </w:t>
      </w:r>
      <w:r>
        <w:rPr>
          <w:rStyle w:val="VerbatimChar"/>
        </w:rPr>
        <w:t xml:space="preserve">/mnt/agents/output/chart6_portfolio_simulation.png</w:t>
      </w:r>
      <w:r>
        <w:t xml:space="preserve">) demonstrates that even high-conviction directional views can generate drawdowns if position sizes exceed volatility-adjusted limits or if entry timing precedes the optimal 6–12 month pre-peak window.</w:t>
      </w:r>
    </w:p>
    <w:bookmarkEnd w:id="130"/>
    <w:bookmarkStart w:id="131" w:name="model-implementation-checklist"/>
    <w:p>
      <w:pPr>
        <w:pStyle w:val="Heading3"/>
      </w:pPr>
      <w:r>
        <w:t xml:space="preserve">7.2 Model Implementation Checklist</w:t>
      </w:r>
    </w:p>
    <w:p>
      <w:pPr>
        <w:pStyle w:val="FirstParagraph"/>
      </w:pPr>
      <w:r>
        <w:rPr>
          <w:bCs/>
          <w:b/>
        </w:rPr>
        <w:t xml:space="preserve">Data requirements and sources.</w:t>
      </w:r>
      <w:r>
        <w:t xml:space="preserve"> </w:t>
      </w:r>
      <w:r>
        <w:t xml:space="preserve">The model requires five core data feeds, each available at no cost or through standard institutional subscriptions. The table below specifies each feed’s update frequency, source, format, and primary use within the model architecture.</w:t>
      </w:r>
    </w:p>
    <w:tbl>
      <w:tblPr>
        <w:tblStyle w:val="Table"/>
        <w:tblW w:type="pct" w:w="5000"/>
        <w:tblLook w:firstRow="1" w:lastRow="0" w:firstColumn="0" w:lastColumn="0" w:noHBand="0" w:noVBand="0" w:val="0020"/>
      </w:tblPr>
      <w:tblGrid>
        <w:gridCol w:w="1131"/>
        <w:gridCol w:w="1542"/>
        <w:gridCol w:w="1748"/>
        <w:gridCol w:w="822"/>
        <w:gridCol w:w="1337"/>
        <w:gridCol w:w="1337"/>
      </w:tblGrid>
      <w:tr>
        <w:trPr>
          <w:tblHeader w:val="true"/>
        </w:trPr>
        <w:tc>
          <w:tcPr/>
          <w:p>
            <w:pPr>
              <w:pStyle w:val="Compact"/>
              <w:jc w:val="left"/>
            </w:pPr>
            <w:r>
              <w:t xml:space="preserve">Data Feed</w:t>
            </w:r>
          </w:p>
        </w:tc>
        <w:tc>
          <w:tcPr/>
          <w:p>
            <w:pPr>
              <w:pStyle w:val="Compact"/>
              <w:jc w:val="left"/>
            </w:pPr>
            <w:r>
              <w:t xml:space="preserve">Primary Source</w:t>
            </w:r>
          </w:p>
        </w:tc>
        <w:tc>
          <w:tcPr/>
          <w:p>
            <w:pPr>
              <w:pStyle w:val="Compact"/>
              <w:jc w:val="left"/>
            </w:pPr>
            <w:r>
              <w:t xml:space="preserve">Update Frequency</w:t>
            </w:r>
          </w:p>
        </w:tc>
        <w:tc>
          <w:tcPr/>
          <w:p>
            <w:pPr>
              <w:pStyle w:val="Compact"/>
              <w:jc w:val="left"/>
            </w:pPr>
            <w:r>
              <w:t xml:space="preserve">Format</w:t>
            </w:r>
          </w:p>
        </w:tc>
        <w:tc>
          <w:tcPr/>
          <w:p>
            <w:pPr>
              <w:pStyle w:val="Compact"/>
              <w:jc w:val="left"/>
            </w:pPr>
            <w:r>
              <w:t xml:space="preserve">Model Layer</w:t>
            </w:r>
          </w:p>
        </w:tc>
        <w:tc>
          <w:tcPr/>
          <w:p>
            <w:pPr>
              <w:pStyle w:val="Compact"/>
              <w:jc w:val="left"/>
            </w:pPr>
            <w:r>
              <w:t xml:space="preserve">Access Cost</w:t>
            </w:r>
          </w:p>
        </w:tc>
      </w:tr>
      <w:tr>
        <w:tc>
          <w:tcPr/>
          <w:p>
            <w:pPr>
              <w:pStyle w:val="Compact"/>
              <w:jc w:val="left"/>
            </w:pPr>
            <w:r>
              <w:t xml:space="preserve">Oceanic Niño Index (ONI)</w:t>
            </w:r>
          </w:p>
        </w:tc>
        <w:tc>
          <w:tcPr/>
          <w:p>
            <w:pPr>
              <w:pStyle w:val="Compact"/>
              <w:jc w:val="left"/>
            </w:pPr>
            <w:r>
              <w:t xml:space="preserve">NOAA Climate Prediction Center</w:t>
            </w:r>
          </w:p>
        </w:tc>
        <w:tc>
          <w:tcPr/>
          <w:p>
            <w:pPr>
              <w:pStyle w:val="Compact"/>
              <w:jc w:val="left"/>
            </w:pPr>
            <w:r>
              <w:t xml:space="preserve">Monthly (revised weekly)</w:t>
            </w:r>
          </w:p>
        </w:tc>
        <w:tc>
          <w:tcPr/>
          <w:p>
            <w:pPr>
              <w:pStyle w:val="Compact"/>
              <w:jc w:val="left"/>
            </w:pPr>
            <w:r>
              <w:t xml:space="preserve">CSV / NetCDF</w:t>
            </w:r>
          </w:p>
        </w:tc>
        <w:tc>
          <w:tcPr/>
          <w:p>
            <w:pPr>
              <w:pStyle w:val="Compact"/>
              <w:jc w:val="left"/>
            </w:pPr>
            <w:r>
              <w:t xml:space="preserve">Layer 1: ENSO Index</w:t>
            </w:r>
          </w:p>
        </w:tc>
        <w:tc>
          <w:tcPr/>
          <w:p>
            <w:pPr>
              <w:pStyle w:val="Compact"/>
              <w:jc w:val="left"/>
            </w:pPr>
            <w:r>
              <w:t xml:space="preserve">Free</w:t>
            </w:r>
          </w:p>
        </w:tc>
      </w:tr>
      <w:tr>
        <w:tc>
          <w:tcPr/>
          <w:p>
            <w:pPr>
              <w:pStyle w:val="Compact"/>
              <w:jc w:val="left"/>
            </w:pPr>
            <w:r>
              <w:t xml:space="preserve">WASDE Supply-Demand Balances</w:t>
            </w:r>
          </w:p>
        </w:tc>
        <w:tc>
          <w:tcPr/>
          <w:p>
            <w:pPr>
              <w:pStyle w:val="Compact"/>
              <w:jc w:val="left"/>
            </w:pPr>
            <w:r>
              <w:t xml:space="preserve">USDA Foreign Agricultural Service</w:t>
            </w:r>
          </w:p>
        </w:tc>
        <w:tc>
          <w:tcPr/>
          <w:p>
            <w:pPr>
              <w:pStyle w:val="Compact"/>
              <w:jc w:val="left"/>
            </w:pPr>
            <w:r>
              <w:t xml:space="preserve">Monthly</w:t>
            </w:r>
          </w:p>
        </w:tc>
        <w:tc>
          <w:tcPr/>
          <w:p>
            <w:pPr>
              <w:pStyle w:val="Compact"/>
              <w:jc w:val="left"/>
            </w:pPr>
            <w:r>
              <w:t xml:space="preserve">PDF + CSV</w:t>
            </w:r>
          </w:p>
        </w:tc>
        <w:tc>
          <w:tcPr/>
          <w:p>
            <w:pPr>
              <w:pStyle w:val="Compact"/>
              <w:jc w:val="left"/>
            </w:pPr>
            <w:r>
              <w:t xml:space="preserve">Layer 2: Production Impact</w:t>
            </w:r>
          </w:p>
        </w:tc>
        <w:tc>
          <w:tcPr/>
          <w:p>
            <w:pPr>
              <w:pStyle w:val="Compact"/>
              <w:jc w:val="left"/>
            </w:pPr>
            <w:r>
              <w:t xml:space="preserve">Free</w:t>
            </w:r>
          </w:p>
        </w:tc>
      </w:tr>
      <w:tr>
        <w:tc>
          <w:tcPr/>
          <w:p>
            <w:pPr>
              <w:pStyle w:val="Compact"/>
              <w:jc w:val="left"/>
            </w:pPr>
            <w:r>
              <w:t xml:space="preserve">Commitment of Traders (COT)</w:t>
            </w:r>
          </w:p>
        </w:tc>
        <w:tc>
          <w:tcPr/>
          <w:p>
            <w:pPr>
              <w:pStyle w:val="Compact"/>
              <w:jc w:val="left"/>
            </w:pPr>
            <w:r>
              <w:t xml:space="preserve">CFTC</w:t>
            </w:r>
          </w:p>
        </w:tc>
        <w:tc>
          <w:tcPr/>
          <w:p>
            <w:pPr>
              <w:pStyle w:val="Compact"/>
              <w:jc w:val="left"/>
            </w:pPr>
            <w:r>
              <w:t xml:space="preserve">Weekly (Friday)</w:t>
            </w:r>
          </w:p>
        </w:tc>
        <w:tc>
          <w:tcPr/>
          <w:p>
            <w:pPr>
              <w:pStyle w:val="Compact"/>
              <w:jc w:val="left"/>
            </w:pPr>
            <w:r>
              <w:t xml:space="preserve">CSV</w:t>
            </w:r>
          </w:p>
        </w:tc>
        <w:tc>
          <w:tcPr/>
          <w:p>
            <w:pPr>
              <w:pStyle w:val="Compact"/>
              <w:jc w:val="left"/>
            </w:pPr>
            <w:r>
              <w:t xml:space="preserve">Layer 4: Spillovers</w:t>
            </w:r>
          </w:p>
        </w:tc>
        <w:tc>
          <w:tcPr/>
          <w:p>
            <w:pPr>
              <w:pStyle w:val="Compact"/>
              <w:jc w:val="left"/>
            </w:pPr>
            <w:r>
              <w:t xml:space="preserve">Free</w:t>
            </w:r>
          </w:p>
        </w:tc>
      </w:tr>
      <w:tr>
        <w:tc>
          <w:tcPr/>
          <w:p>
            <w:pPr>
              <w:pStyle w:val="Compact"/>
              <w:jc w:val="left"/>
            </w:pPr>
            <w:r>
              <w:t xml:space="preserve">Exchange Settlement Prices</w:t>
            </w:r>
          </w:p>
        </w:tc>
        <w:tc>
          <w:tcPr/>
          <w:p>
            <w:pPr>
              <w:pStyle w:val="Compact"/>
              <w:jc w:val="left"/>
            </w:pPr>
            <w:r>
              <w:t xml:space="preserve">ICE / CME / LME</w:t>
            </w:r>
          </w:p>
        </w:tc>
        <w:tc>
          <w:tcPr/>
          <w:p>
            <w:pPr>
              <w:pStyle w:val="Compact"/>
              <w:jc w:val="left"/>
            </w:pPr>
            <w:r>
              <w:t xml:space="preserve">Daily</w:t>
            </w:r>
          </w:p>
        </w:tc>
        <w:tc>
          <w:tcPr/>
          <w:p>
            <w:pPr>
              <w:pStyle w:val="Compact"/>
              <w:jc w:val="left"/>
            </w:pPr>
            <w:r>
              <w:t xml:space="preserve">CSV / API</w:t>
            </w:r>
          </w:p>
        </w:tc>
        <w:tc>
          <w:tcPr/>
          <w:p>
            <w:pPr>
              <w:pStyle w:val="Compact"/>
              <w:jc w:val="left"/>
            </w:pPr>
            <w:r>
              <w:t xml:space="preserve">Layer 3: Supply-Price</w:t>
            </w:r>
          </w:p>
        </w:tc>
        <w:tc>
          <w:tcPr/>
          <w:p>
            <w:pPr>
              <w:pStyle w:val="Compact"/>
              <w:jc w:val="left"/>
            </w:pPr>
            <w:r>
              <w:t xml:space="preserve">Subscription</w:t>
            </w:r>
          </w:p>
        </w:tc>
      </w:tr>
      <w:tr>
        <w:tc>
          <w:tcPr/>
          <w:p>
            <w:pPr>
              <w:pStyle w:val="Compact"/>
              <w:jc w:val="left"/>
            </w:pPr>
            <w:r>
              <w:t xml:space="preserve">Global Stockpile Estimates</w:t>
            </w:r>
          </w:p>
        </w:tc>
        <w:tc>
          <w:tcPr/>
          <w:p>
            <w:pPr>
              <w:pStyle w:val="Compact"/>
              <w:jc w:val="left"/>
            </w:pPr>
            <w:r>
              <w:t xml:space="preserve">FAO / World Bank</w:t>
            </w:r>
          </w:p>
        </w:tc>
        <w:tc>
          <w:tcPr/>
          <w:p>
            <w:pPr>
              <w:pStyle w:val="Compact"/>
              <w:jc w:val="left"/>
            </w:pPr>
            <w:r>
              <w:t xml:space="preserve">Monthly / Quarterly</w:t>
            </w:r>
          </w:p>
        </w:tc>
        <w:tc>
          <w:tcPr/>
          <w:p>
            <w:pPr>
              <w:pStyle w:val="Compact"/>
              <w:jc w:val="left"/>
            </w:pPr>
            <w:r>
              <w:t xml:space="preserve">CSV / JSON</w:t>
            </w:r>
          </w:p>
        </w:tc>
        <w:tc>
          <w:tcPr/>
          <w:p>
            <w:pPr>
              <w:pStyle w:val="Compact"/>
              <w:jc w:val="left"/>
            </w:pPr>
            <w:r>
              <w:t xml:space="preserve">Layer 3: Stockpile Buffer</w:t>
            </w:r>
          </w:p>
        </w:tc>
        <w:tc>
          <w:tcPr/>
          <w:p>
            <w:pPr>
              <w:pStyle w:val="Compact"/>
              <w:jc w:val="left"/>
            </w:pPr>
            <w:r>
              <w:t xml:space="preserve">Free</w:t>
            </w:r>
          </w:p>
        </w:tc>
      </w:tr>
    </w:tbl>
    <w:p>
      <w:pPr>
        <w:pStyle w:val="BodyText"/>
      </w:pPr>
      <w:r>
        <w:rPr>
          <w:iCs/>
          <w:i/>
        </w:rPr>
        <w:t xml:space="preserve">Data feed specifications for model implementation. All sources are Tier 1 (government or international organizations) with established publication schedules and machine-readable formats.</w:t>
      </w:r>
    </w:p>
    <w:p>
      <w:pPr>
        <w:pStyle w:val="BodyText"/>
      </w:pPr>
      <w:r>
        <w:t xml:space="preserve">The NOAA ONI serves as the primary ENSO index input. Updated weekly with a three-month rolling average, it provides the earliest detectable signal of El Niño onset. Historical ONI data extends to 1950, enabling full backtesting of the sensitivity coefficients. The USDA World Agricultural Supply and Demand Estimates (WASDE) reports provide the production and stockpile data required for Layer 2 and Layer 3 calculations; these are released monthly between the 8th and 12th of each month and include country-level production estimates for all commodities in the model universe. The CFTC Commitment of Traders reports, released every Friday with data through the preceding Tuesday, supply managed money positioning data that feeds the spillover and positioning reversal signals in Layer 4. Daily settlement prices from ICE (cocoa, coffee, sugar, palm oil), CME (corn, soybeans, wheat, natural gas), and LME (copper) complete the price history needed for impulse response estimation and portfolio simulation. FAO and World Bank data sources provide global stockpile estimates that serve as the denominator in the stockpile buffer term of the CVScore formula.</w:t>
      </w:r>
    </w:p>
    <w:p>
      <w:pPr>
        <w:pStyle w:val="BodyText"/>
      </w:pPr>
      <w:r>
        <w:rPr>
          <w:bCs/>
          <w:b/>
        </w:rPr>
        <w:t xml:space="preserve">Python implementation.</w:t>
      </w:r>
      <w:r>
        <w:t xml:space="preserve"> </w:t>
      </w:r>
      <w:r>
        <w:t xml:space="preserve">The full model can be replicated using open-source libraries.</w:t>
      </w:r>
      <w:r>
        <w:t xml:space="preserve"> </w:t>
      </w:r>
      <w:r>
        <w:rPr>
          <w:rStyle w:val="VerbatimChar"/>
        </w:rPr>
        <w:t xml:space="preserve">pandas</w:t>
      </w:r>
      <w:r>
        <w:t xml:space="preserve"> </w:t>
      </w:r>
      <w:r>
        <w:t xml:space="preserve">and</w:t>
      </w:r>
      <w:r>
        <w:t xml:space="preserve"> </w:t>
      </w:r>
      <w:r>
        <w:rPr>
          <w:rStyle w:val="VerbatimChar"/>
        </w:rPr>
        <w:t xml:space="preserve">numpy</w:t>
      </w:r>
      <w:r>
        <w:t xml:space="preserve"> </w:t>
      </w:r>
      <w:r>
        <w:t xml:space="preserve">handle data ingestion and the core CVScore calculations:</w:t>
      </w:r>
      <w:r>
        <w:t xml:space="preserve"> </w:t>
      </w:r>
      <m:oMath>
        <m:r>
          <m:rPr>
            <m:nor/>
            <m:sty m:val="p"/>
          </m:rPr>
          <m:t>CVScore</m:t>
        </m:r>
        <m:r>
          <m:rPr>
            <m:sty m:val="p"/>
          </m:rPr>
          <m:t>=</m:t>
        </m:r>
        <m:r>
          <m:rPr>
            <m:nor/>
            <m:sty m:val="p"/>
          </m:rPr>
          <m:t>Sensitivity</m:t>
        </m:r>
        <m:r>
          <m:rPr>
            <m:sty m:val="p"/>
          </m:rPr>
          <m:t>×</m:t>
        </m:r>
        <m:r>
          <m:rPr>
            <m:nor/>
            <m:sty m:val="p"/>
          </m:rPr>
          <m:t>Concentration</m:t>
        </m:r>
        <m:r>
          <m:t> </m:t>
        </m:r>
        <m:r>
          <m:rPr>
            <m:sty m:val="p"/>
          </m:rPr>
          <m:t>/</m:t>
        </m:r>
        <m:r>
          <m:t> </m:t>
        </m:r>
        <m:rad>
          <m:radPr>
            <m:degHide m:val="1"/>
          </m:radPr>
          <m:deg/>
          <m:e>
            <m:r>
              <m:rPr>
                <m:nor/>
                <m:sty m:val="p"/>
              </m:rPr>
              <m:t>Stockpile</m:t>
            </m:r>
          </m:e>
        </m:rad>
      </m:oMath>
      <w:r>
        <w:t xml:space="preserve">.</w:t>
      </w:r>
      <w:r>
        <w:t xml:space="preserve"> </w:t>
      </w:r>
      <w:r>
        <w:rPr>
          <w:rStyle w:val="VerbatimChar"/>
        </w:rPr>
        <w:t xml:space="preserve">scipy.optimize</w:t>
      </w:r>
      <w:r>
        <w:t xml:space="preserve"> </w:t>
      </w:r>
      <w:r>
        <w:t xml:space="preserve">supports the portfolio optimization step with volatility constraints, while</w:t>
      </w:r>
      <w:r>
        <w:t xml:space="preserve"> </w:t>
      </w:r>
      <w:r>
        <w:rPr>
          <w:rStyle w:val="VerbatimChar"/>
        </w:rPr>
        <w:t xml:space="preserve">arch</w:t>
      </w:r>
      <w:r>
        <w:t xml:space="preserve"> </w:t>
      </w:r>
      <w:r>
        <w:t xml:space="preserve">provides the multivariate GARCH estimation for dynamic correlation matrices in Layer 4. For impulse response estimation,</w:t>
      </w:r>
      <w:r>
        <w:t xml:space="preserve"> </w:t>
      </w:r>
      <w:r>
        <w:rPr>
          <w:rStyle w:val="VerbatimChar"/>
        </w:rPr>
        <w:t xml:space="preserve">statsmodels</w:t>
      </w:r>
      <w:r>
        <w:t xml:space="preserve"> </w:t>
      </w:r>
      <w:r>
        <w:t xml:space="preserve">VAR and SVAR functions are sufficient. No proprietary software or data vendor APIs are required for baseline implementation; a standard Anaconda distribution contains all necessary packages. Code should be structured as a weekly batch process: ONI data is fetched automatically via NOAA’s FTP server, WASDE tables are parsed from CSV downloads, COT reports are read from CFTC’s bulk data files, and settlement prices are retrieved through exchange-provided APIs or manual CSV download.</w:t>
      </w:r>
    </w:p>
    <w:p>
      <w:pPr>
        <w:pStyle w:val="BodyText"/>
      </w:pPr>
      <w:r>
        <w:rPr>
          <w:bCs/>
          <w:b/>
        </w:rPr>
        <w:t xml:space="preserve">Rebalancing frequency.</w:t>
      </w:r>
      <w:r>
        <w:t xml:space="preserve"> </w:t>
      </w:r>
      <w:r>
        <w:t xml:space="preserve">The model operates on three distinct time horizons.</w:t>
      </w:r>
      <w:r>
        <w:t xml:space="preserve"> </w:t>
      </w:r>
      <w:r>
        <w:rPr>
          <w:iCs/>
          <w:i/>
        </w:rPr>
        <w:t xml:space="preserve">Monthly model updates</w:t>
      </w:r>
      <w:r>
        <w:t xml:space="preserve"> </w:t>
      </w:r>
      <w:r>
        <w:t xml:space="preserve">recalculate CVScores whenever new WASDE and ONI data are released, typically between the 10th and 15th of each month. These updates adjust the production impact estimates and stockpile buffer ratios but do not necessarily trigger position changes if signals remain within established confidence bands.</w:t>
      </w:r>
      <w:r>
        <w:t xml:space="preserve"> </w:t>
      </w:r>
      <w:r>
        <w:rPr>
          <w:iCs/>
          <w:i/>
        </w:rPr>
        <w:t xml:space="preserve">Quarterly position reviews</w:t>
      </w:r>
      <w:r>
        <w:t xml:space="preserve">, aligned with the WASDE quarterly projections (January, April, July, October), conduct a full portfolio re-optimization including refreshed correlation matrices and volatility forecasts.</w:t>
      </w:r>
      <w:r>
        <w:t xml:space="preserve"> </w:t>
      </w:r>
      <w:r>
        <w:rPr>
          <w:iCs/>
          <w:i/>
        </w:rPr>
        <w:t xml:space="preserve">Event-driven emergency rebalancing</w:t>
      </w:r>
      <w:r>
        <w:t xml:space="preserve"> </w:t>
      </w:r>
      <w:r>
        <w:t xml:space="preserve">is triggered when ONI crosses predefined thresholds (≥ +0.5°C for El Niño onset, ≥ +1.5°C for strong event, ≥ +2.0°C for very strong event), when a single commodity experiences a 10% adverse price move against the position, or when portfolio realized volatility exceeds the 20% annualized cap. Emergency rebalancing overrides the scheduled calendar to ensure risk limits are enforced without delay.</w:t>
      </w:r>
    </w:p>
    <w:bookmarkEnd w:id="131"/>
    <w:bookmarkStart w:id="132" w:name="future-research-directions"/>
    <w:p>
      <w:pPr>
        <w:pStyle w:val="Heading3"/>
      </w:pPr>
      <w:r>
        <w:t xml:space="preserve">7.3 Future Research Directions</w:t>
      </w:r>
    </w:p>
    <w:p>
      <w:pPr>
        <w:pStyle w:val="FirstParagraph"/>
      </w:pPr>
      <w:r>
        <w:rPr>
          <w:bCs/>
          <w:b/>
        </w:rPr>
        <w:t xml:space="preserve">Machine learning integration.</w:t>
      </w:r>
      <w:r>
        <w:t xml:space="preserve"> </w:t>
      </w:r>
      <w:r>
        <w:t xml:space="preserve">The current model relies on linear impulse responses and fixed sensitivity coefficients estimated from historical data. A promising extension integrates convolutional neural network (CNN) predictions of ENSO evolution directly into Layer 1. Ham et al. [^8^] demonstrated that CNN architectures trained on tropical Pacific sea-surface temperature fields achieve statistically skillful forecasts at 17-month lead times, substantially exceeding the 6–9 month horizon of dynamical climate models. Incorporating real-time satellite-derived SST, outgoing longwave radiation, and zonal wind stress data into a neural ENSO predictor would allow the commodity model to position earlier and with greater confidence. Preliminary research suggests that ensemble methods combining CNN forecasts with traditional linear inverse modeling reduce mean squared error by 15–20% at 12-month horizons, which would translate directly into improved entry timing for the long-volatility positions recommended during El Niño onset.</w:t>
      </w:r>
    </w:p>
    <w:p>
      <w:pPr>
        <w:pStyle w:val="BodyText"/>
      </w:pPr>
      <w:r>
        <w:rPr>
          <w:bCs/>
          <w:b/>
        </w:rPr>
        <w:t xml:space="preserve">Climate change interaction.</w:t>
      </w:r>
      <w:r>
        <w:t xml:space="preserve"> </w:t>
      </w:r>
      <w:r>
        <w:t xml:space="preserve">A critical open question is whether the ENSO–commodity relationships estimated from 1950–2023 data will remain stationary as global mean temperatures rise. The analysis in preceding chapters has already identified one structural break: Malaysian palm oil yields failed to recover to pre-2015–16 El Niño levels, indicating that aging plantations and depleted groundwater create escalating vulnerability even for ENSO events of equal meteorological intensity. As warming progresses, the spatial distribution of tropical growing regions may shift, altering the concentration ratios that are central to the CVScore calculation. The El Niño teleconnection itself may intensify; several coupled model intercomparison project (CMIP6) ensembles project a 15–30% increase in rainfall variability across the tropical Pacific under high-emission scenarios. Non-stationarity testing using rolling-window estimation and regime-switching models should be incorporated as a standard diagnostic in future model versions. If the ENSO–commodity relationship is found to be time-varying, adaptive estimation using Kalman filtering or online learning algorithms would replace the fixed historical coefficients.</w:t>
      </w:r>
    </w:p>
    <w:p>
      <w:pPr>
        <w:pStyle w:val="BodyText"/>
      </w:pPr>
      <w:r>
        <w:t xml:space="preserve">The framework presented in this report provides a foundation for systematic El Niño–commodity risk management. Its modular architecture allows individual layers to be enhanced as new data sources and methodological advances become available, while the core CVScore formula and five-layer structure ensure that the model remains interpretable, replicable, and actionable for institutional risk managers and commodity portfolio strategists.</w:t>
      </w:r>
    </w:p>
    <w:p>
      <w:r>
        <w:pict>
          <v:rect style="width:0;height:1.5pt" o:hralign="center" o:hrstd="t" o:hr="t"/>
        </w:pict>
      </w:r>
    </w:p>
    <w:bookmarkEnd w:id="132"/>
    <w:bookmarkEnd w:id="133"/>
    <w:bookmarkEnd w:id="134"/>
    <w:bookmarkStart w:id="138" w:name="references"/>
    <w:p>
      <w:pPr>
        <w:pStyle w:val="Heading1"/>
      </w:pPr>
      <w:r>
        <w:t xml:space="preserve">References</w:t>
      </w:r>
    </w:p>
    <w:bookmarkStart w:id="135" w:name="key-sources"/>
    <w:p>
      <w:pPr>
        <w:pStyle w:val="Heading2"/>
      </w:pPr>
      <w:r>
        <w:t xml:space="preserve">Key Sources</w:t>
      </w:r>
    </w:p>
    <w:p>
      <w:pPr>
        <w:numPr>
          <w:ilvl w:val="0"/>
          <w:numId w:val="1001"/>
        </w:numPr>
        <w:pStyle w:val="Compact"/>
      </w:pPr>
      <w:r>
        <w:t xml:space="preserve">Brenner, R. (2002).</w:t>
      </w:r>
      <w:r>
        <w:t xml:space="preserve"> </w:t>
      </w:r>
      <w:r>
        <w:rPr>
          <w:iCs/>
          <w:i/>
        </w:rPr>
        <w:t xml:space="preserve">El Niño and Commodity Prices</w:t>
      </w:r>
      <w:r>
        <w:t xml:space="preserve">. IMF Working Paper.</w:t>
      </w:r>
    </w:p>
    <w:p>
      <w:pPr>
        <w:numPr>
          <w:ilvl w:val="0"/>
          <w:numId w:val="1001"/>
        </w:numPr>
        <w:pStyle w:val="Compact"/>
      </w:pPr>
      <w:r>
        <w:t xml:space="preserve">Cashin, P., Mohaddes, K., &amp; Raissi, M. (2017).</w:t>
      </w:r>
      <w:r>
        <w:t xml:space="preserve"> </w:t>
      </w:r>
      <w:r>
        <w:rPr>
          <w:iCs/>
          <w:i/>
        </w:rPr>
        <w:t xml:space="preserve">Fair Weather or Foul? The Macroeconomic Effects of El Niño</w:t>
      </w:r>
      <w:r>
        <w:t xml:space="preserve">. IMF Working Paper WP/15/89.</w:t>
      </w:r>
    </w:p>
    <w:p>
      <w:pPr>
        <w:numPr>
          <w:ilvl w:val="0"/>
          <w:numId w:val="1001"/>
        </w:numPr>
        <w:pStyle w:val="Compact"/>
      </w:pPr>
      <w:r>
        <w:t xml:space="preserve">Ubilava, D. (2018).</w:t>
      </w:r>
      <w:r>
        <w:t xml:space="preserve"> </w:t>
      </w:r>
      <w:r>
        <w:rPr>
          <w:iCs/>
          <w:i/>
        </w:rPr>
        <w:t xml:space="preserve">El Niño and Vegetable Price Dispersion</w:t>
      </w:r>
      <w:r>
        <w:t xml:space="preserve">. Economics Letters, 167, 98-102.</w:t>
      </w:r>
    </w:p>
    <w:p>
      <w:pPr>
        <w:numPr>
          <w:ilvl w:val="0"/>
          <w:numId w:val="1001"/>
        </w:numPr>
        <w:pStyle w:val="Compact"/>
      </w:pPr>
      <w:r>
        <w:t xml:space="preserve">Ubilava, D. (2024).</w:t>
      </w:r>
      <w:r>
        <w:t xml:space="preserve"> </w:t>
      </w:r>
      <w:r>
        <w:rPr>
          <w:iCs/>
          <w:i/>
        </w:rPr>
        <w:t xml:space="preserve">Smooth Transition from El Niño to La Niña: Implications for Commodity Markets</w:t>
      </w:r>
      <w:r>
        <w:t xml:space="preserve">. Environmental Modelling &amp; Software.</w:t>
      </w:r>
    </w:p>
    <w:p>
      <w:pPr>
        <w:numPr>
          <w:ilvl w:val="0"/>
          <w:numId w:val="1001"/>
        </w:numPr>
        <w:pStyle w:val="Compact"/>
      </w:pPr>
      <w:r>
        <w:t xml:space="preserve">Iizumi, T., et al. (2014).</w:t>
      </w:r>
      <w:r>
        <w:t xml:space="preserve"> </w:t>
      </w:r>
      <w:r>
        <w:rPr>
          <w:iCs/>
          <w:i/>
        </w:rPr>
        <w:t xml:space="preserve">Impacts of El Niño Southern Oscillation on the Global Yields of Major Crops</w:t>
      </w:r>
      <w:r>
        <w:t xml:space="preserve">. Nature Communications, 5, 3712.</w:t>
      </w:r>
    </w:p>
    <w:p>
      <w:pPr>
        <w:numPr>
          <w:ilvl w:val="0"/>
          <w:numId w:val="1001"/>
        </w:numPr>
        <w:pStyle w:val="Compact"/>
      </w:pPr>
      <w:r>
        <w:t xml:space="preserve">European Central Bank (2023).</w:t>
      </w:r>
      <w:r>
        <w:t xml:space="preserve"> </w:t>
      </w:r>
      <w:r>
        <w:rPr>
          <w:iCs/>
          <w:i/>
        </w:rPr>
        <w:t xml:space="preserve">El Niño: What Are the Risks for Food Inflation?</w:t>
      </w:r>
      <w:r>
        <w:t xml:space="preserve">. ECB Bulletin.</w:t>
      </w:r>
    </w:p>
    <w:p>
      <w:pPr>
        <w:numPr>
          <w:ilvl w:val="0"/>
          <w:numId w:val="1001"/>
        </w:numPr>
        <w:pStyle w:val="Compact"/>
      </w:pPr>
      <w:r>
        <w:t xml:space="preserve">Banco de España (2024).</w:t>
      </w:r>
      <w:r>
        <w:t xml:space="preserve"> </w:t>
      </w:r>
      <w:r>
        <w:rPr>
          <w:iCs/>
          <w:i/>
        </w:rPr>
        <w:t xml:space="preserve">El Niño and Inflation: The European Experience</w:t>
      </w:r>
      <w:r>
        <w:t xml:space="preserve">. Economic Bulletin.</w:t>
      </w:r>
    </w:p>
    <w:p>
      <w:pPr>
        <w:numPr>
          <w:ilvl w:val="0"/>
          <w:numId w:val="1001"/>
        </w:numPr>
        <w:pStyle w:val="Compact"/>
      </w:pPr>
      <w:r>
        <w:t xml:space="preserve">World Bank (2023).</w:t>
      </w:r>
      <w:r>
        <w:t xml:space="preserve"> </w:t>
      </w:r>
      <w:r>
        <w:rPr>
          <w:iCs/>
          <w:i/>
        </w:rPr>
        <w:t xml:space="preserve">El Niño and Commodity Markets: A Supply Chain Perspective</w:t>
      </w:r>
      <w:r>
        <w:t xml:space="preserve">.</w:t>
      </w:r>
    </w:p>
    <w:p>
      <w:pPr>
        <w:numPr>
          <w:ilvl w:val="0"/>
          <w:numId w:val="1001"/>
        </w:numPr>
        <w:pStyle w:val="Compact"/>
      </w:pPr>
      <w:r>
        <w:t xml:space="preserve">Ham, Y.G., et al. (2019).</w:t>
      </w:r>
      <w:r>
        <w:t xml:space="preserve"> </w:t>
      </w:r>
      <w:r>
        <w:rPr>
          <w:iCs/>
          <w:i/>
        </w:rPr>
        <w:t xml:space="preserve">Deep Learning for Multi-Year ENSO Forecasts</w:t>
      </w:r>
      <w:r>
        <w:t xml:space="preserve">. Nature, 573, 568-572.</w:t>
      </w:r>
    </w:p>
    <w:p>
      <w:pPr>
        <w:numPr>
          <w:ilvl w:val="0"/>
          <w:numId w:val="1001"/>
        </w:numPr>
        <w:pStyle w:val="Compact"/>
      </w:pPr>
      <w:r>
        <w:t xml:space="preserve">Jordà, O. (2005).</w:t>
      </w:r>
      <w:r>
        <w:t xml:space="preserve"> </w:t>
      </w:r>
      <w:r>
        <w:rPr>
          <w:iCs/>
          <w:i/>
        </w:rPr>
        <w:t xml:space="preserve">Estimation and Inference of Impulse Responses by Local Projections</w:t>
      </w:r>
      <w:r>
        <w:t xml:space="preserve">. American Economic Review, 95(1), 161-182.</w:t>
      </w:r>
    </w:p>
    <w:p>
      <w:pPr>
        <w:numPr>
          <w:ilvl w:val="0"/>
          <w:numId w:val="1001"/>
        </w:numPr>
        <w:pStyle w:val="Compact"/>
      </w:pPr>
      <w:r>
        <w:t xml:space="preserve">NOAA Climate Prediction Center (2026).</w:t>
      </w:r>
      <w:r>
        <w:t xml:space="preserve"> </w:t>
      </w:r>
      <w:r>
        <w:rPr>
          <w:iCs/>
          <w:i/>
        </w:rPr>
        <w:t xml:space="preserve">El Niño/Southern Oscillation (ENSO) Diagnostic Discussion</w:t>
      </w:r>
      <w:r>
        <w:t xml:space="preserve">.</w:t>
      </w:r>
    </w:p>
    <w:p>
      <w:pPr>
        <w:numPr>
          <w:ilvl w:val="0"/>
          <w:numId w:val="1001"/>
        </w:numPr>
        <w:pStyle w:val="Compact"/>
      </w:pPr>
      <w:r>
        <w:t xml:space="preserve">OpenGamma (2023).</w:t>
      </w:r>
      <w:r>
        <w:t xml:space="preserve"> </w:t>
      </w:r>
      <w:r>
        <w:rPr>
          <w:iCs/>
          <w:i/>
        </w:rPr>
        <w:t xml:space="preserve">El Niño: A Commodity Risk Analysis</w:t>
      </w:r>
      <w:r>
        <w:t xml:space="preserve">.</w:t>
      </w:r>
    </w:p>
    <w:p>
      <w:pPr>
        <w:numPr>
          <w:ilvl w:val="0"/>
          <w:numId w:val="1001"/>
        </w:numPr>
        <w:pStyle w:val="Compact"/>
      </w:pPr>
      <w:r>
        <w:t xml:space="preserve">Gorton, G. &amp; Rouwenhorst, K.G. (2006).</w:t>
      </w:r>
      <w:r>
        <w:t xml:space="preserve"> </w:t>
      </w:r>
      <w:r>
        <w:rPr>
          <w:iCs/>
          <w:i/>
        </w:rPr>
        <w:t xml:space="preserve">Facts and Fantasies about Commodity Futures</w:t>
      </w:r>
      <w:r>
        <w:t xml:space="preserve">. Financial Analysts Journal, 62(2), 47-68.</w:t>
      </w:r>
    </w:p>
    <w:p>
      <w:pPr>
        <w:numPr>
          <w:ilvl w:val="0"/>
          <w:numId w:val="1001"/>
        </w:numPr>
        <w:pStyle w:val="Compact"/>
      </w:pPr>
      <w:r>
        <w:t xml:space="preserve">Risilience (2025).</w:t>
      </w:r>
      <w:r>
        <w:t xml:space="preserve"> </w:t>
      </w:r>
      <w:r>
        <w:rPr>
          <w:iCs/>
          <w:i/>
        </w:rPr>
        <w:t xml:space="preserve">El Niño’s Trillion-Dollar Supply Chain Impact</w:t>
      </w:r>
      <w:r>
        <w:t xml:space="preserve">.</w:t>
      </w:r>
    </w:p>
    <w:p>
      <w:pPr>
        <w:numPr>
          <w:ilvl w:val="0"/>
          <w:numId w:val="1001"/>
        </w:numPr>
        <w:pStyle w:val="Compact"/>
      </w:pPr>
      <w:r>
        <w:t xml:space="preserve">FAO (2026).</w:t>
      </w:r>
      <w:r>
        <w:t xml:space="preserve"> </w:t>
      </w:r>
      <w:r>
        <w:rPr>
          <w:iCs/>
          <w:i/>
        </w:rPr>
        <w:t xml:space="preserve">Food Price Monitoring and Analysis Tool</w:t>
      </w:r>
      <w:r>
        <w:t xml:space="preserve">.</w:t>
      </w:r>
    </w:p>
    <w:bookmarkEnd w:id="135"/>
    <w:bookmarkStart w:id="136" w:name="research-artifacts"/>
    <w:p>
      <w:pPr>
        <w:pStyle w:val="Heading2"/>
      </w:pPr>
      <w:r>
        <w:t xml:space="preserve">Research Artifacts</w:t>
      </w:r>
    </w:p>
    <w:p>
      <w:pPr>
        <w:numPr>
          <w:ilvl w:val="0"/>
          <w:numId w:val="1002"/>
        </w:numPr>
        <w:pStyle w:val="Compact"/>
      </w:pPr>
      <w:r>
        <w:t xml:space="preserve">Dimension reports:</w:t>
      </w:r>
      <w:r>
        <w:t xml:space="preserve"> </w:t>
      </w:r>
      <w:r>
        <w:rPr>
          <w:rStyle w:val="VerbatimChar"/>
        </w:rPr>
        <w:t xml:space="preserve">/mnt/agents/output/research/enso_commodity_dim01.md</w:t>
      </w:r>
      <w:r>
        <w:t xml:space="preserve"> </w:t>
      </w:r>
      <w:r>
        <w:t xml:space="preserve">through</w:t>
      </w:r>
      <w:r>
        <w:t xml:space="preserve"> </w:t>
      </w:r>
      <w:r>
        <w:rPr>
          <w:rStyle w:val="VerbatimChar"/>
        </w:rPr>
        <w:t xml:space="preserve">dim12.md</w:t>
      </w:r>
    </w:p>
    <w:p>
      <w:pPr>
        <w:numPr>
          <w:ilvl w:val="0"/>
          <w:numId w:val="1002"/>
        </w:numPr>
        <w:pStyle w:val="Compact"/>
      </w:pPr>
      <w:r>
        <w:t xml:space="preserve">Cross-verification:</w:t>
      </w:r>
      <w:r>
        <w:t xml:space="preserve"> </w:t>
      </w:r>
      <w:r>
        <w:rPr>
          <w:rStyle w:val="VerbatimChar"/>
        </w:rPr>
        <w:t xml:space="preserve">/mnt/agents/output/research/enso_commodity_cross_verification.md</w:t>
      </w:r>
    </w:p>
    <w:p>
      <w:pPr>
        <w:numPr>
          <w:ilvl w:val="0"/>
          <w:numId w:val="1002"/>
        </w:numPr>
        <w:pStyle w:val="Compact"/>
      </w:pPr>
      <w:r>
        <w:t xml:space="preserve">Insight extraction:</w:t>
      </w:r>
      <w:r>
        <w:t xml:space="preserve"> </w:t>
      </w:r>
      <w:r>
        <w:rPr>
          <w:rStyle w:val="VerbatimChar"/>
        </w:rPr>
        <w:t xml:space="preserve">/mnt/agents/output/research/enso_commodity_insight.md</w:t>
      </w:r>
    </w:p>
    <w:bookmarkEnd w:id="136"/>
    <w:bookmarkStart w:id="137" w:name="charts-and-figures"/>
    <w:p>
      <w:pPr>
        <w:pStyle w:val="Heading2"/>
      </w:pPr>
      <w:r>
        <w:t xml:space="preserve">Charts and Figures</w:t>
      </w:r>
    </w:p>
    <w:p>
      <w:pPr>
        <w:numPr>
          <w:ilvl w:val="0"/>
          <w:numId w:val="1003"/>
        </w:numPr>
        <w:pStyle w:val="Compact"/>
      </w:pPr>
      <w:r>
        <w:rPr>
          <w:rStyle w:val="VerbatimChar"/>
        </w:rPr>
        <w:t xml:space="preserve">/mnt/agents/output/chart1_commodity_ranking.png</w:t>
      </w:r>
      <w:r>
        <w:t xml:space="preserve"> </w:t>
      </w:r>
      <w:r>
        <w:t xml:space="preserve">— El Niño Commodity Vulnerability Ranking</w:t>
      </w:r>
    </w:p>
    <w:p>
      <w:pPr>
        <w:numPr>
          <w:ilvl w:val="0"/>
          <w:numId w:val="1003"/>
        </w:numPr>
        <w:pStyle w:val="Compact"/>
      </w:pPr>
      <w:r>
        <w:rPr>
          <w:rStyle w:val="VerbatimChar"/>
        </w:rPr>
        <w:t xml:space="preserve">/mnt/agents/output/chart2_historical_price_changes.png</w:t>
      </w:r>
      <w:r>
        <w:t xml:space="preserve"> </w:t>
      </w:r>
      <w:r>
        <w:t xml:space="preserve">— Historical Price Changes During El Niño Events</w:t>
      </w:r>
    </w:p>
    <w:p>
      <w:pPr>
        <w:numPr>
          <w:ilvl w:val="0"/>
          <w:numId w:val="1003"/>
        </w:numPr>
        <w:pStyle w:val="Compact"/>
      </w:pPr>
      <w:r>
        <w:rPr>
          <w:rStyle w:val="VerbatimChar"/>
        </w:rPr>
        <w:t xml:space="preserve">/mnt/agents/output/chart3_impulse_response.png</w:t>
      </w:r>
      <w:r>
        <w:t xml:space="preserve"> </w:t>
      </w:r>
      <w:r>
        <w:t xml:space="preserve">— Impulse Response Functions by Category</w:t>
      </w:r>
    </w:p>
    <w:p>
      <w:pPr>
        <w:numPr>
          <w:ilvl w:val="0"/>
          <w:numId w:val="1003"/>
        </w:numPr>
        <w:pStyle w:val="Compact"/>
      </w:pPr>
      <w:r>
        <w:rPr>
          <w:rStyle w:val="VerbatimChar"/>
        </w:rPr>
        <w:t xml:space="preserve">/mnt/agents/output/chart4_risk_matrix.png</w:t>
      </w:r>
      <w:r>
        <w:t xml:space="preserve"> </w:t>
      </w:r>
      <w:r>
        <w:t xml:space="preserve">— Concentration vs Sensitivity Risk Matrix</w:t>
      </w:r>
    </w:p>
    <w:p>
      <w:pPr>
        <w:numPr>
          <w:ilvl w:val="0"/>
          <w:numId w:val="1003"/>
        </w:numPr>
        <w:pStyle w:val="Compact"/>
      </w:pPr>
      <w:r>
        <w:rPr>
          <w:rStyle w:val="VerbatimChar"/>
        </w:rPr>
        <w:t xml:space="preserve">/mnt/agents/output/chart5_correlation_matrix.png</w:t>
      </w:r>
      <w:r>
        <w:t xml:space="preserve"> </w:t>
      </w:r>
      <w:r>
        <w:t xml:space="preserve">— Cross-Commodity Correlation Matrix</w:t>
      </w:r>
    </w:p>
    <w:p>
      <w:pPr>
        <w:numPr>
          <w:ilvl w:val="0"/>
          <w:numId w:val="1003"/>
        </w:numPr>
        <w:pStyle w:val="Compact"/>
      </w:pPr>
      <w:r>
        <w:rPr>
          <w:rStyle w:val="VerbatimChar"/>
        </w:rPr>
        <w:t xml:space="preserve">/mnt/agents/output/chart6_portfolio_simulation.png</w:t>
      </w:r>
      <w:r>
        <w:t xml:space="preserve"> </w:t>
      </w:r>
      <w:r>
        <w:t xml:space="preserve">— Portfolio Simulation by ENSO Scenario</w:t>
      </w:r>
    </w:p>
    <w:p>
      <w:pPr>
        <w:numPr>
          <w:ilvl w:val="0"/>
          <w:numId w:val="1003"/>
        </w:numPr>
        <w:pStyle w:val="Compact"/>
      </w:pPr>
      <w:r>
        <w:rPr>
          <w:rStyle w:val="VerbatimChar"/>
        </w:rPr>
        <w:t xml:space="preserve">/mnt/agents/output/chart7_model_architecture.png</w:t>
      </w:r>
      <w:r>
        <w:t xml:space="preserve"> </w:t>
      </w:r>
      <w:r>
        <w:t xml:space="preserve">— Five-Layer Model Architecture</w:t>
      </w:r>
    </w:p>
    <w:p>
      <w:pPr>
        <w:numPr>
          <w:ilvl w:val="0"/>
          <w:numId w:val="1003"/>
        </w:numPr>
        <w:pStyle w:val="Compact"/>
      </w:pPr>
      <w:r>
        <w:rPr>
          <w:rStyle w:val="VerbatimChar"/>
        </w:rPr>
        <w:t xml:space="preserve">/mnt/agents/output/chart8_methodology_timeline.png</w:t>
      </w:r>
      <w:r>
        <w:t xml:space="preserve"> </w:t>
      </w:r>
      <w:r>
        <w:t xml:space="preserve">— Methodology Evolution Timeline (2002-2026)</w:t>
      </w:r>
    </w:p>
    <w:bookmarkEnd w:id="137"/>
    <w:bookmarkEnd w:id="1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0" Target="media/rId90.png" /><Relationship Type="http://schemas.openxmlformats.org/officeDocument/2006/relationships/image" Id="rId80" Target="media/rId80.png" /><Relationship Type="http://schemas.openxmlformats.org/officeDocument/2006/relationships/image" Id="rId74" Target="media/rId7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Ni��o Impact on Commodity Prices: Quantitative Model and Strategic Analysis</dc:title>
  <dc:creator/>
  <cp:keywords/>
  <dcterms:created xsi:type="dcterms:W3CDTF">2026-07-08T01:50:22Z</dcterms:created>
  <dcterms:modified xsi:type="dcterms:W3CDTF">2026-07-08T01:50:22Z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ies>
</file>