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660"/>
        <w:gridCol w:w="663"/>
        <w:gridCol w:w="377"/>
      </w:tblGrid>
      <w:tr w:rsidR="00113F49" w:rsidRPr="00113F49" w:rsidTr="00113F49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表：戴维斯双击策略持仓明细（本期于20170420开盘买入）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代码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简称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113F4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申万行业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权重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002283.SZ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天润曲轴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汽车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600298.SH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安琪酵母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农林牧渔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300388.SZ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国祯环保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公用事业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300054.SZ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鼎龙股份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化工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600114.SH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东</w:t>
            </w: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睦</w:t>
            </w:r>
            <w:proofErr w:type="gramEnd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股份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有色金属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002174.SZ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游族网络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传媒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000715.SZ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中兴商业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商业贸易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002734.SZ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利民股份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化工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002285.SZ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世</w:t>
            </w:r>
            <w:proofErr w:type="gramEnd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联行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房地产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002677.SZ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浙江美大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家用电器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300271.SZ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华</w:t>
            </w: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宇软件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计算机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002172.SZ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澳洋科技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化工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300113.SZ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顺</w:t>
            </w: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网科技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传媒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300003.SZ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乐普医疗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医药生物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002415.SZ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海康威视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计算机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300145.SZ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中</w:t>
            </w: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金环境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机械设备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000965.SZ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天保基建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房地产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300072.SZ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三聚环保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化工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002445.SZ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中南文化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传媒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002043.SZ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兔</w:t>
            </w:r>
            <w:proofErr w:type="gramEnd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宝宝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建筑材料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000756.SZ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新华制药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医药生物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002502.SZ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骅威文化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传媒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001979.SZ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招商蛇口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房地产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000997.SZ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新大陆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计算机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  <w:tr w:rsidR="00113F49" w:rsidRPr="00113F49" w:rsidTr="00113F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000703.SZ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恒逸石化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化工</w:t>
            </w:r>
          </w:p>
        </w:tc>
        <w:tc>
          <w:tcPr>
            <w:tcW w:w="0" w:type="auto"/>
            <w:vAlign w:val="center"/>
            <w:hideMark/>
          </w:tcPr>
          <w:p w:rsidR="00113F49" w:rsidRPr="00113F49" w:rsidRDefault="00113F49" w:rsidP="00113F4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113F49">
              <w:rPr>
                <w:rFonts w:ascii="宋体" w:eastAsia="宋体" w:hAnsi="宋体" w:cs="宋体"/>
                <w:kern w:val="0"/>
                <w:sz w:val="15"/>
                <w:szCs w:val="15"/>
              </w:rPr>
              <w:t>4%</w:t>
            </w:r>
          </w:p>
        </w:tc>
      </w:tr>
    </w:tbl>
    <w:p w:rsidR="00113F49" w:rsidRDefault="00113F49"/>
    <w:p w:rsidR="00113F49" w:rsidRDefault="00113F4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660"/>
        <w:gridCol w:w="663"/>
        <w:gridCol w:w="813"/>
        <w:gridCol w:w="828"/>
      </w:tblGrid>
      <w:tr w:rsidR="008E1039" w:rsidRPr="008E1039" w:rsidTr="008E1039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表：戴维斯双击策略持仓明细（20170720建仓）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代码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简称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申万行业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本期涨跌幅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b/>
                <w:bCs/>
                <w:kern w:val="0"/>
                <w:sz w:val="15"/>
                <w:szCs w:val="15"/>
              </w:rPr>
              <w:t>本周涨跌幅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603518.SH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维格娜丝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纺织服装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8.92%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5.13%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300208.SZ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恒顺众昇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电气设备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8.75%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7.16%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000796.SZ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凯撒旅游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休闲服务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8.66%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-2.09%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300383.SZ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光环新网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传媒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7.32%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2.24%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000488.SZ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晨鸣纸业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轻工制造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7.05%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5.83%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300146.SZ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汤臣</w:t>
            </w: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倍</w:t>
            </w:r>
            <w:proofErr w:type="gramEnd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健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食品饮料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6.57%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-4.88%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lastRenderedPageBreak/>
              <w:t>002087.SZ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新野纺织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纺织服装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5.58%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1.34%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600057.SH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象屿股份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交通运输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5.19%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-1.38%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000905.SH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中证500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2.85%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0.16%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600114.SH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东</w:t>
            </w: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睦</w:t>
            </w:r>
            <w:proofErr w:type="gramEnd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股份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有色金属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1.34%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-3.14%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002612.SZ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朗姿股份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纺织服装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0.93%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0.15%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300396.SZ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迪瑞医疗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医药生物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0.72%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0.03%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300432.SZ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富临精工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汽车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0.29%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-5.45%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600577.SH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精达股份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机械设备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0.23%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0.92%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002775.SZ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文科园林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建筑装饰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-0.32%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-1.37%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300199.SZ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翰</w:t>
            </w:r>
            <w:proofErr w:type="gramEnd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宇药业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医药生物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-0.47%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0.74%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000018.SZ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神州长城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建筑装饰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-0.69%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-2.45%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300487.SZ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蓝晓科技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化工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-1.25%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-0.63%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002429.SZ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兆驰股份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家用电器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-1.52%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-0.62%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002385.SZ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大北农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农林牧渔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-1.62%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-0.98%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601006.SH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大秦铁路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交通运输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-3.09%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0.00%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002680.SZ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长生生物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医药生物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-3.31%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1.39%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300233.SZ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金城医药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医药生物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-5.26%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-1.80%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600297.SH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proofErr w:type="gramStart"/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广汇汽车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汽车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-6.26%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-2.26%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601127.SH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小康股份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汽车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-6.49%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0.00%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603868.SH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飞科电器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家用电器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-6.85%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-3.82%</w:t>
            </w:r>
          </w:p>
        </w:tc>
      </w:tr>
      <w:tr w:rsidR="008E1039" w:rsidRPr="008E1039" w:rsidTr="008E10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15"/>
                <w:szCs w:val="15"/>
              </w:rPr>
            </w:pPr>
            <w:r w:rsidRPr="008E1039">
              <w:rPr>
                <w:rFonts w:ascii="宋体" w:eastAsia="宋体" w:hAnsi="宋体" w:cs="宋体"/>
                <w:kern w:val="0"/>
                <w:sz w:val="15"/>
                <w:szCs w:val="15"/>
              </w:rPr>
              <w:t>资料来源：wind，天风证券研究所</w:t>
            </w: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Align w:val="center"/>
            <w:hideMark/>
          </w:tcPr>
          <w:p w:rsidR="008E1039" w:rsidRPr="008E1039" w:rsidRDefault="008E1039" w:rsidP="008E103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</w:tr>
    </w:tbl>
    <w:p w:rsidR="008E1039" w:rsidRDefault="008E1039" w:rsidP="008E1039">
      <w:pPr>
        <w:widowControl/>
        <w:jc w:val="left"/>
        <w:rPr>
          <w:rFonts w:ascii="宋体" w:eastAsia="宋体" w:hAnsi="宋体" w:cs="宋体" w:hint="eastAsia"/>
          <w:kern w:val="0"/>
          <w:sz w:val="15"/>
          <w:szCs w:val="15"/>
        </w:rPr>
      </w:pPr>
      <w:r w:rsidRPr="008E1039">
        <w:rPr>
          <w:rFonts w:ascii="宋体" w:eastAsia="宋体" w:hAnsi="宋体" w:cs="宋体"/>
          <w:kern w:val="0"/>
          <w:sz w:val="15"/>
          <w:szCs w:val="15"/>
        </w:rPr>
        <w:t>注：另持有上期因停牌未卖出的中金环境、</w:t>
      </w:r>
      <w:proofErr w:type="gramStart"/>
      <w:r w:rsidRPr="008E1039">
        <w:rPr>
          <w:rFonts w:ascii="宋体" w:eastAsia="宋体" w:hAnsi="宋体" w:cs="宋体"/>
          <w:kern w:val="0"/>
          <w:sz w:val="15"/>
          <w:szCs w:val="15"/>
        </w:rPr>
        <w:t>骏威文化</w:t>
      </w:r>
      <w:proofErr w:type="gramEnd"/>
      <w:r w:rsidRPr="008E1039">
        <w:rPr>
          <w:rFonts w:ascii="宋体" w:eastAsia="宋体" w:hAnsi="宋体" w:cs="宋体"/>
          <w:kern w:val="0"/>
          <w:sz w:val="15"/>
          <w:szCs w:val="15"/>
        </w:rPr>
        <w:t xml:space="preserve">。 </w:t>
      </w:r>
    </w:p>
    <w:p w:rsidR="000C3B45" w:rsidRDefault="000C3B45" w:rsidP="008E1039">
      <w:pPr>
        <w:widowControl/>
        <w:jc w:val="left"/>
        <w:rPr>
          <w:rFonts w:ascii="宋体" w:eastAsia="宋体" w:hAnsi="宋体" w:cs="宋体" w:hint="eastAsia"/>
          <w:kern w:val="0"/>
          <w:sz w:val="15"/>
          <w:szCs w:val="15"/>
        </w:rPr>
      </w:pPr>
    </w:p>
    <w:p w:rsidR="000C3B45" w:rsidRPr="008E1039" w:rsidRDefault="000C3B45" w:rsidP="008E1039">
      <w:pPr>
        <w:widowControl/>
        <w:jc w:val="left"/>
        <w:rPr>
          <w:rFonts w:ascii="宋体" w:eastAsia="宋体" w:hAnsi="宋体" w:cs="宋体"/>
          <w:kern w:val="0"/>
          <w:sz w:val="15"/>
          <w:szCs w:val="15"/>
        </w:rPr>
      </w:pPr>
      <w:r>
        <w:rPr>
          <w:noProof/>
        </w:rPr>
        <w:lastRenderedPageBreak/>
        <w:drawing>
          <wp:inline distT="0" distB="0" distL="0" distR="0" wp14:anchorId="2104EBF1" wp14:editId="4C69E1A2">
            <wp:extent cx="5274310" cy="637068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3B45" w:rsidRPr="008E1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039"/>
    <w:rsid w:val="000C3B45"/>
    <w:rsid w:val="00113F49"/>
    <w:rsid w:val="00750F48"/>
    <w:rsid w:val="008E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E103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E103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8E1039"/>
  </w:style>
  <w:style w:type="paragraph" w:styleId="a3">
    <w:name w:val="Normal (Web)"/>
    <w:basedOn w:val="a"/>
    <w:uiPriority w:val="99"/>
    <w:unhideWhenUsed/>
    <w:rsid w:val="008E1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E1039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8E1039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E103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8E103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E103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8E1039"/>
  </w:style>
  <w:style w:type="paragraph" w:styleId="a3">
    <w:name w:val="Normal (Web)"/>
    <w:basedOn w:val="a"/>
    <w:uiPriority w:val="99"/>
    <w:unhideWhenUsed/>
    <w:rsid w:val="008E1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E1039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8E1039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8E10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8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3</cp:revision>
  <dcterms:created xsi:type="dcterms:W3CDTF">2019-07-21T02:37:00Z</dcterms:created>
  <dcterms:modified xsi:type="dcterms:W3CDTF">2019-07-21T02:45:00Z</dcterms:modified>
</cp:coreProperties>
</file>