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Override PartName="/word/media/rId46.png" ContentType="image/png"/>
  <Override PartName="/word/media/rId80.png" ContentType="image/png"/>
  <Override PartName="/word/media/rId6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pPr>
        <w:pStyle w:val="Heading2"/>
      </w:pPr>
      <w:r>
        <w:t xml:space="preserve">Executive Summary</w:t>
      </w:r>
    </w:p>
    <w:p>
      <w:pPr>
        <w:pStyle w:val="FirstParagraph"/>
      </w:pPr>
      <w:r>
        <w:t xml:space="preserve">Field-programmable gate array (FPGA) technology has demonstrated quantifiable, production-proven acceleration in exactly one of the three trading domains examined—delta-one execution—while presenting a significant greenfield opportunity in a second (inventory management for high-frequency market making) and no current applicability in a third (securities lending). The direct answer to the question of whether FPGA can be deployed across delta-one trading, stock loan, and inventory management is:</w:t>
      </w:r>
      <w:r>
        <w:t xml:space="preserve"> </w:t>
      </w:r>
      <w:r>
        <w:rPr>
          <w:bCs/>
          <w:b/>
        </w:rPr>
        <w:t xml:space="preserve">yes, proven; no, not currently viable; and yes, with the highest return on investment of all three domains</w:t>
      </w:r>
      <w:r>
        <w:t xml:space="preserve">, respectively.</w:t>
      </w:r>
    </w:p>
    <w:p>
      <w:pPr>
        <w:pStyle w:val="BodyText"/>
      </w:pPr>
      <w:r>
        <w:rPr>
          <w:bCs/>
          <w:b/>
        </w:rPr>
        <w:t xml:space="preserve">Delta-One Trading — Proven and Deployed.</w:t>
      </w:r>
      <w:r>
        <w:t xml:space="preserve"> </w:t>
      </w:r>
      <w:r>
        <w:t xml:space="preserve">FPGA acceleration is mature and commercially deployed for index arbitrage, ETF market making, and basket hedging. The AMD Alveo UL3524 achieved a STAC-T0 world-record actionable latency of 13.9 nanoseconds in June 2024, a 49% improvement over the prior generation</w:t>
      </w:r>
      <w:r>
        <w:t xml:space="preserve"> </w:t>
      </w:r>
      <w:r>
        <w:rPr>
          <w:vertAlign w:val="superscript"/>
        </w:rPr>
        <w:footnoteReference w:id="1"/>
      </w:r>
      <w:r>
        <w:t xml:space="preserve">. Confirmed FPGA users among top-tier firms include Hudson River Trading, Jump Trading, and Citadel Securities</w:t>
      </w:r>
      <w:r>
        <w:t xml:space="preserve"> </w:t>
      </w:r>
      <w:r>
        <w:rPr>
          <w:vertAlign w:val="superscript"/>
        </w:rPr>
        <w:footnoteReference w:id="2"/>
      </w:r>
      <w:r>
        <w:t xml:space="preserve">. In ETF market making, AMD explicitly positions its Alveo cards for</w:t>
      </w:r>
      <w:r>
        <w:t xml:space="preserve"> </w:t>
      </w:r>
      <w:r>
        <w:t xml:space="preserve">“</w:t>
      </w:r>
      <w:r>
        <w:t xml:space="preserve">ensuring parity between exchange-traded fund prices and their underlying assets</w:t>
      </w:r>
      <w:r>
        <w:t xml:space="preserve">”</w:t>
      </w:r>
      <w:r>
        <w:t xml:space="preserve"> </w:t>
      </w:r>
      <w:fldSimple w:instr="NOTEREF _Ref_Footnote_1 \h \f">
        <w:r>
          <w:rPr>
            <w:vertAlign w:val="superscript"/>
          </w:rPr>
          <w:t>1</w:t>
        </w:r>
      </w:fldSimple>
      <w:r>
        <w:t xml:space="preserve">. Academic research from the University of Heidelberg documented 4× latency reduction for feed handlers (12.8 microseconds to 2.6 microseconds) and round-trip execution time reductions exceeding 70% with full hardware stack implementation</w:t>
      </w:r>
      <w:r>
        <w:t xml:space="preserve"> </w:t>
      </w:r>
      <w:r>
        <w:rPr>
          <w:vertAlign w:val="superscript"/>
        </w:rPr>
        <w:footnoteReference w:id="3"/>
      </w:r>
      <w:r>
        <w:t xml:space="preserve">. For S&amp;P 500 basket NAV calculation, FPGA parallel multiply-accumulate (MAC) arrays can collapse 500 constituent price-weight operations from 50–200 microseconds on CPU to under 1 microsecond</w:t>
      </w:r>
      <w:r>
        <w:t xml:space="preserve"> </w:t>
      </w:r>
      <w:fldSimple w:instr="NOTEREF _Ref_Footnote_3 \h \f">
        <w:r>
          <w:rPr>
            <w:vertAlign w:val="superscript"/>
          </w:rPr>
          <w:t>3</w:t>
        </w:r>
      </w:fldSimple>
      <w:r>
        <w:t xml:space="preserve">. Break-even on FPGA investment is estimated at under 6 months for active delta-one desks.</w:t>
      </w:r>
    </w:p>
    <w:p>
      <w:pPr>
        <w:pStyle w:val="BodyText"/>
      </w:pPr>
      <w:r>
        <w:rPr>
          <w:bCs/>
          <w:b/>
        </w:rPr>
        <w:t xml:space="preserve">Stock Loan and Securities Lending — No Current Deployments.</w:t>
      </w:r>
      <w:r>
        <w:t xml:space="preserve"> </w:t>
      </w:r>
      <w:r>
        <w:t xml:space="preserve">Extensive review of vendor disclosures, benchmark records, and industry literature reveals no direct FPGA deployments in securities lending platforms. The market, which DataLend reports at</w:t>
      </w:r>
      <w:r>
        <w:t xml:space="preserve"> </w:t>
      </w:r>
      <w:r>
        <w:rPr>
          <w:bCs/>
          <w:b/>
        </w:rPr>
        <w:t xml:space="preserve">$2.6 trillion in securities on loan</w:t>
      </w:r>
      <w:r>
        <w:t xml:space="preserve"> </w:t>
      </w:r>
      <w:r>
        <w:t xml:space="preserve">globally</w:t>
      </w:r>
      <w:r>
        <w:t xml:space="preserve"> </w:t>
      </w:r>
      <w:r>
        <w:rPr>
          <w:vertAlign w:val="superscript"/>
        </w:rPr>
        <w:footnoteReference w:id="4"/>
      </w:r>
      <w:r>
        <w:t xml:space="preserve">, operates entirely on software-native stacks: EquiLend NGT processes 50,000+ trades per day across 100+ firms</w:t>
      </w:r>
      <w:r>
        <w:t xml:space="preserve"> </w:t>
      </w:r>
      <w:r>
        <w:rPr>
          <w:vertAlign w:val="superscript"/>
        </w:rPr>
        <w:footnoteReference w:id="5"/>
      </w:r>
      <w:r>
        <w:t xml:space="preserve">; FIS Smart Loan handles Regulation SHO compliance and locate authorization at 50–100 millisecond latency</w:t>
      </w:r>
      <w:r>
        <w:t xml:space="preserve"> </w:t>
      </w:r>
      <w:r>
        <w:rPr>
          <w:vertAlign w:val="superscript"/>
        </w:rPr>
        <w:footnoteReference w:id="6"/>
      </w:r>
      <w:r>
        <w:t xml:space="preserve">; and Wematch SM@RT routes approximately $2 trillion in annual volume on cloud-based serverless infrastructure</w:t>
      </w:r>
      <w:r>
        <w:t xml:space="preserve"> </w:t>
      </w:r>
      <w:fldSimple w:instr="NOTEREF _Ref_Footnote_2 \h \f">
        <w:r>
          <w:rPr>
            <w:vertAlign w:val="superscript"/>
          </w:rPr>
          <w:t>2</w:t>
        </w:r>
      </w:fldSimple>
      <w:r>
        <w:t xml:space="preserve">. The locate engine—a blocking pre-trade requirement under Regulation SHO Rule 203(b)(1)</w:t>
      </w:r>
      <w:r>
        <w:t xml:space="preserve"> </w:t>
      </w:r>
      <w:r>
        <w:rPr>
          <w:vertAlign w:val="superscript"/>
        </w:rPr>
        <w:footnoteReference w:id="7"/>
      </w:r>
      <w:r>
        <w:t xml:space="preserve">—represents the most promising acceleration target: FPGA-based parallel inventory lookup could theoretically reduce locate response from 50–100 milliseconds to sub-microsecond, a</w:t>
      </w:r>
      <w:r>
        <w:t xml:space="preserve"> </w:t>
      </w:r>
      <w:r>
        <w:rPr>
          <w:bCs/>
          <w:b/>
        </w:rPr>
        <w:t xml:space="preserve">100× improvement</w:t>
      </w:r>
      <w:r>
        <w:t xml:space="preserve">. However, the relationship-driven nature of securities lending, where counterparty credit limits and collateral schedules often dominate over execution speed, and the absence of any vendor-offered hardware-accelerated products, render this a longer-term research opportunity rather than an immediate deployment candidate.</w:t>
      </w:r>
    </w:p>
    <w:p>
      <w:pPr>
        <w:pStyle w:val="BodyText"/>
      </w:pPr>
      <w:r>
        <w:rPr>
          <w:bCs/>
          <w:b/>
        </w:rPr>
        <w:t xml:space="preserve">Inventory Management — Highest ROI Opportunity.</w:t>
      </w:r>
      <w:r>
        <w:t xml:space="preserve"> </w:t>
      </w:r>
      <w:r>
        <w:t xml:space="preserve">Real-time inventory management for options market makers presents the most technically compelling FPGA use case. A single market maker quoting 10,000 option series must execute</w:t>
      </w:r>
      <w:r>
        <w:t xml:space="preserve"> </w:t>
      </w:r>
      <w:r>
        <w:rPr>
          <w:bCs/>
          <w:b/>
        </w:rPr>
        <w:t xml:space="preserve">40,000+ Greek calculations</w:t>
      </w:r>
      <w:r>
        <w:t xml:space="preserve"> </w:t>
      </w:r>
      <w:r>
        <w:t xml:space="preserve">(delta, gamma, theta, vega) on every underlying tick, a workload that consumes 1–5 milliseconds on CPU</w:t>
      </w:r>
      <w:r>
        <w:t xml:space="preserve"> </w:t>
      </w:r>
      <w:r>
        <w:rPr>
          <w:vertAlign w:val="superscript"/>
        </w:rPr>
        <w:footnoteReference w:id="8"/>
      </w:r>
      <w:r>
        <w:t xml:space="preserve">. FPGA architecture instantiates thousands of parallel Black-Scholes pipelines on a single device, completing the full portfolio risk update in under 10 microseconds—a speedup of 100–500×</w:t>
      </w:r>
      <w:r>
        <w:t xml:space="preserve"> </w:t>
      </w:r>
      <w:fldSimple w:instr="NOTEREF _Ref_Footnote_8 \h \f">
        <w:r>
          <w:rPr>
            <w:vertAlign w:val="superscript"/>
          </w:rPr>
          <w:t>8</w:t>
        </w:r>
      </w:fldSimple>
      <w:r>
        <w:t xml:space="preserve">. The auto-quoter pipeline, delta hedge execution, and streaming P&amp;L aggregation all benefit from clock-cycle-exact determinism that eliminates the operating system jitter inherent in CPU implementations. Power consumption of 25–75W per FPGA card</w:t>
      </w:r>
      <w:r>
        <w:t xml:space="preserve"> </w:t>
      </w:r>
      <w:r>
        <w:rPr>
          <w:vertAlign w:val="superscript"/>
        </w:rPr>
        <w:footnoteReference w:id="9"/>
      </w:r>
      <w:r>
        <w:t xml:space="preserve">, versus 200–300W for CPU servers, compounds the operational savings. At $5,000–$15,000 per card, break-even is projected at 6–18 months depending on quote-update volume and gamma-cost reduction.</w:t>
      </w:r>
    </w:p>
    <w:p>
      <w:pPr>
        <w:pStyle w:val="BodyText"/>
      </w:pPr>
      <w:r>
        <w:rPr>
          <w:bCs/>
          <w:b/>
        </w:rPr>
        <w:t xml:space="preserve">Implementation Roadmap.</w:t>
      </w:r>
      <w:r>
        <w:t xml:space="preserve"> </w:t>
      </w:r>
      <w:r>
        <w:t xml:space="preserve">A four-phase deployment sequence prioritizes lowest-risk, highest-immediate-return components first: (1)</w:t>
      </w:r>
      <w:r>
        <w:t xml:space="preserve"> </w:t>
      </w:r>
      <w:r>
        <w:rPr>
          <w:bCs/>
          <w:b/>
        </w:rPr>
        <w:t xml:space="preserve">Feed handler acceleration</w:t>
      </w:r>
      <w:r>
        <w:t xml:space="preserve"> </w:t>
      </w:r>
      <w:r>
        <w:t xml:space="preserve">(immediate)—replace software FAST/ITCH decoding with FPGA wire-speed parsing, achieving sub-3-microsecond feed processing</w:t>
      </w:r>
      <w:r>
        <w:t xml:space="preserve"> </w:t>
      </w:r>
      <w:fldSimple w:instr="NOTEREF _Ref_Footnote_3 \h \f">
        <w:r>
          <w:rPr>
            <w:vertAlign w:val="superscript"/>
          </w:rPr>
          <w:t>3</w:t>
        </w:r>
      </w:fldSimple>
      <w:r>
        <w:t xml:space="preserve">; (2)</w:t>
      </w:r>
      <w:r>
        <w:t xml:space="preserve"> </w:t>
      </w:r>
      <w:r>
        <w:rPr>
          <w:bCs/>
          <w:b/>
        </w:rPr>
        <w:t xml:space="preserve">Greeks engine</w:t>
      </w:r>
      <w:r>
        <w:t xml:space="preserve"> </w:t>
      </w:r>
      <w:r>
        <w:t xml:space="preserve">(3–6 months)—deploy parallel Black-Scholes cores for portfolio risk calculation; (3)</w:t>
      </w:r>
      <w:r>
        <w:t xml:space="preserve"> </w:t>
      </w:r>
      <w:r>
        <w:rPr>
          <w:bCs/>
          <w:b/>
        </w:rPr>
        <w:t xml:space="preserve">Locate engine</w:t>
      </w:r>
      <w:r>
        <w:t xml:space="preserve"> </w:t>
      </w:r>
      <w:r>
        <w:t xml:space="preserve">(6–12 months)—custom FPGA integration with securities lending APIs for sub-microsecond locate response; (4)</w:t>
      </w:r>
      <w:r>
        <w:t xml:space="preserve"> </w:t>
      </w:r>
      <w:r>
        <w:rPr>
          <w:bCs/>
          <w:b/>
        </w:rPr>
        <w:t xml:space="preserve">Basket NAV accelerator</w:t>
      </w:r>
      <w:r>
        <w:t xml:space="preserve"> </w:t>
      </w:r>
      <w:r>
        <w:t xml:space="preserve">(12+ months)—500-parallel-MAC array for index arbitrage. The primary risks are development complexity—requiring specialized hardware description language (HDL) or high-level synthesis (HLS) expertise—and the long-term migration of top-tier firms to application-specific integrated circuits (ASICs), which may eventually render FPGA solutions cost-disadvantageous for the most latency-sensitive strategies.</w:t>
      </w:r>
    </w:p>
    <w:p>
      <w:r>
        <w:pict>
          <v:rect style="width:0;height:1.5pt" o:hralign="center" o:hrstd="t" o:hr="t"/>
        </w:pict>
      </w:r>
    </w:p>
    <w:bookmarkEnd w:id="20"/>
    <w:bookmarkStart w:id="36" w:name="X859822ec12e16820854c707e0906a7a3aa89cb6"/>
    <w:p>
      <w:pPr>
        <w:pStyle w:val="Heading2"/>
      </w:pPr>
      <w:r>
        <w:t xml:space="preserve">1. FPGA Technology Primer for Financial Markets</w:t>
      </w:r>
    </w:p>
    <w:p>
      <w:pPr>
        <w:pStyle w:val="FirstParagraph"/>
      </w:pPr>
      <w:r>
        <w:t xml:space="preserve">Field-Programmable Gate Arrays (FPGAs) have transitioned from niche prototyping devices to foundational infrastructure in electronic trading. Unlike conventional processors that execute instructions sequentially through a fixed architecture, FPGAs are semiconductor devices containing an array of configurable logic blocks whose interconnections and functions can be programmed after manufacture. This reconfigurability enables trading firms to implement custom hardware pipelines optimized for specific financial workloads — most notably market data processing, order book management, and tick-to-trade execution — achieving latencies orders of magnitude below those attainable with general-purpose CPUs</w:t>
      </w:r>
      <w:r>
        <w:t xml:space="preserve"> </w:t>
      </w:r>
      <w:fldSimple w:instr="NOTEREF _Ref_Footnote_9 \h \f">
        <w:r>
          <w:rPr>
            <w:vertAlign w:val="superscript"/>
          </w:rPr>
          <w:t>9</w:t>
        </w:r>
      </w:fldSimple>
      <w:r>
        <w:t xml:space="preserve">.</w:t>
      </w:r>
    </w:p>
    <w:bookmarkStart w:id="23" w:name="how-fpga-acceleration-works"/>
    <w:p>
      <w:pPr>
        <w:pStyle w:val="Heading3"/>
      </w:pPr>
      <w:r>
        <w:t xml:space="preserve">1.1 How FPGA Acceleration Works</w:t>
      </w:r>
    </w:p>
    <w:bookmarkStart w:id="21" w:name="Xa5ab8dcd41c2c1d767ce9ed04e84f35a494ff4b"/>
    <w:p>
      <w:pPr>
        <w:pStyle w:val="Heading4"/>
      </w:pPr>
      <w:r>
        <w:t xml:space="preserve">1.1.1 Parallel Execution and Deterministic Latency</w:t>
      </w:r>
    </w:p>
    <w:p>
      <w:pPr>
        <w:pStyle w:val="FirstParagraph"/>
      </w:pPr>
      <w:r>
        <w:t xml:space="preserve">The fundamental performance advantage of FPGA acceleration in trading stems from two architectural characteristics: spatial parallelism and deterministic execution. A Central Processing Unit (CPU) executes program instructions sequentially (or across a limited number of cores) through a fetch-decode-execute cycle governed by an operating system scheduler. This sequential nature introduces non-deterministic delays — cache misses, context switches, and interrupt handling — that create jitter (variability in response time) typically measured in microseconds. In contrast, an FPGA implements computations directly in hardware logic gates. Multiple operations proceed simultaneously across different regions of the chip, a model known as</w:t>
      </w:r>
      <w:r>
        <w:t xml:space="preserve"> </w:t>
      </w:r>
      <w:r>
        <w:rPr>
          <w:iCs/>
          <w:i/>
        </w:rPr>
        <w:t xml:space="preserve">true parallel processing</w:t>
      </w:r>
      <w:r>
        <w:t xml:space="preserve"> </w:t>
      </w:r>
      <w:r>
        <w:t xml:space="preserve">rather than the time-sliced approximation offered by multi-threaded software</w:t>
      </w:r>
      <w:r>
        <w:t xml:space="preserve"> </w:t>
      </w:r>
      <w:r>
        <w:rPr>
          <w:vertAlign w:val="superscript"/>
        </w:rPr>
        <w:footnoteReference w:id="10"/>
      </w:r>
      <w:r>
        <w:t xml:space="preserve">.</w:t>
      </w:r>
    </w:p>
    <w:p>
      <w:pPr>
        <w:pStyle w:val="BodyText"/>
      </w:pPr>
      <w:r>
        <w:t xml:space="preserve">The second critical advantage is</w:t>
      </w:r>
      <w:r>
        <w:t xml:space="preserve"> </w:t>
      </w:r>
      <w:r>
        <w:rPr>
          <w:iCs/>
          <w:i/>
        </w:rPr>
        <w:t xml:space="preserve">deterministic clock-cycle latency</w:t>
      </w:r>
      <w:r>
        <w:t xml:space="preserve">. Once an FPGA design is synthesized and deployed, the propagation delay from input to output is fixed by the physical layout of logic gates and interconnects. There is no operating system scheduler, no virtual memory translation, and no software stack to traverse. Every identical input produces an output after the exact same number of nanoseconds. This determinism is essential in high-frequency trading (HFT), where the variance in response time can be as damaging as its mean value</w:t>
      </w:r>
      <w:r>
        <w:t xml:space="preserve"> </w:t>
      </w:r>
      <w:r>
        <w:rPr>
          <w:vertAlign w:val="superscript"/>
        </w:rPr>
        <w:footnoteReference w:id="11"/>
      </w:r>
      <w:r>
        <w:t xml:space="preserve">.</w:t>
      </w:r>
    </w:p>
    <w:bookmarkEnd w:id="21"/>
    <w:bookmarkStart w:id="22" w:name="key-fpga-components-for-trading"/>
    <w:p>
      <w:pPr>
        <w:pStyle w:val="Heading4"/>
      </w:pPr>
      <w:r>
        <w:t xml:space="preserve">1.1.2 Key FPGA Components for Trading</w:t>
      </w:r>
    </w:p>
    <w:p>
      <w:pPr>
        <w:pStyle w:val="FirstParagraph"/>
      </w:pPr>
      <w:r>
        <w:t xml:space="preserve">An FPGA device comprises several building blocks, each serving a specific function in a trading acceleration pipeline:</w:t>
      </w:r>
    </w:p>
    <w:p>
      <w:pPr>
        <w:pStyle w:val="BodyText"/>
      </w:pPr>
      <w:r>
        <w:rPr>
          <w:bCs/>
          <w:b/>
        </w:rPr>
        <w:t xml:space="preserve">Lookup Tables (LUTs)</w:t>
      </w:r>
      <w:r>
        <w:t xml:space="preserve"> </w:t>
      </w:r>
      <w:r>
        <w:t xml:space="preserve">are the basic configurable logic elements that implement Boolean functions. Each LUT can be programmed to perform arbitrary combinational logic, and thousands of LUTs operating in parallel can evaluate complex decision trees — such as order book matching algorithms or trading signal conditions — simultaneously. The AMD Alveo UL3524, the current industry-leading FinTech accelerator, provides 780,000 LUTs of programmable fabric</w:t>
      </w:r>
      <w:r>
        <w:t xml:space="preserve"> </w:t>
      </w:r>
      <w:r>
        <w:rPr>
          <w:vertAlign w:val="superscript"/>
        </w:rPr>
        <w:footnoteReference w:id="12"/>
      </w:r>
      <w:r>
        <w:t xml:space="preserve">.</w:t>
      </w:r>
    </w:p>
    <w:p>
      <w:pPr>
        <w:pStyle w:val="BodyText"/>
      </w:pPr>
      <w:r>
        <w:rPr>
          <w:bCs/>
          <w:b/>
        </w:rPr>
        <w:t xml:space="preserve">Digital Signal Processing (DSP) slices</w:t>
      </w:r>
      <w:r>
        <w:t xml:space="preserve"> </w:t>
      </w:r>
      <w:r>
        <w:t xml:space="preserve">are hardened arithmetic units optimized for multiply-accumulate operations. These are critical for trading workloads involving basket valuation, hedge ratio calculation, and Greeks computation where large numbers of floating-point or fixed-point operations must execute at wire speed. The Alveo UL3524 integrates 1,680 DSP slices</w:t>
      </w:r>
      <w:r>
        <w:t xml:space="preserve"> </w:t>
      </w:r>
      <w:fldSimple w:instr="NOTEREF _Ref_Footnote_12 \h \f">
        <w:r>
          <w:rPr>
            <w:vertAlign w:val="superscript"/>
          </w:rPr>
          <w:t>12</w:t>
        </w:r>
      </w:fldSimple>
      <w:r>
        <w:t xml:space="preserve">.</w:t>
      </w:r>
    </w:p>
    <w:p>
      <w:pPr>
        <w:pStyle w:val="BodyText"/>
      </w:pPr>
      <w:r>
        <w:rPr>
          <w:bCs/>
          <w:b/>
        </w:rPr>
        <w:t xml:space="preserve">Block RAM (BRAM)</w:t>
      </w:r>
      <w:r>
        <w:t xml:space="preserve"> </w:t>
      </w:r>
      <w:r>
        <w:t xml:space="preserve">provides high-speed on-chip memory for storing stateful data structures. In trading applications, BRAM typically holds order book representations, position tables, and configuration parameters. Access latency to BRAM is measured in single clock cycles (approximately 4 ns at typical frequencies), compared to hundreds of nanoseconds for DRAM accessed through a CPU memory hierarchy</w:t>
      </w:r>
      <w:r>
        <w:t xml:space="preserve"> </w:t>
      </w:r>
      <w:fldSimple w:instr="NOTEREF _Ref_Footnote_10 \h \f">
        <w:r>
          <w:rPr>
            <w:vertAlign w:val="superscript"/>
          </w:rPr>
          <w:t>10</w:t>
        </w:r>
      </w:fldSimple>
      <w:r>
        <w:t xml:space="preserve">.</w:t>
      </w:r>
    </w:p>
    <w:p>
      <w:pPr>
        <w:pStyle w:val="BodyText"/>
      </w:pPr>
      <w:r>
        <w:rPr>
          <w:bCs/>
          <w:b/>
        </w:rPr>
        <w:t xml:space="preserve">High-speed transceivers</w:t>
      </w:r>
      <w:r>
        <w:t xml:space="preserve"> </w:t>
      </w:r>
      <w:r>
        <w:t xml:space="preserve">handle physical-layer network I/O, receiving and transmitting data directly from Ethernet cables into the FPGA fabric without passing through a CPU or operating system network stack. The Alveo UL3422, a compact successor to the UL3524, achieves a Physical Medium Attachment (PMA) transmit-plus-receive response time of under 2.5 ns, with data entering and exiting the FPGA fabric incurring only approximately 3 ns of additional latency</w:t>
      </w:r>
      <w:r>
        <w:t xml:space="preserve"> </w:t>
      </w:r>
      <w:fldSimple w:instr="NOTEREF _Ref_Footnote_2 \h \f">
        <w:r>
          <w:rPr>
            <w:vertAlign w:val="superscript"/>
          </w:rPr>
          <w:t>2</w:t>
        </w:r>
      </w:fldSimple>
      <w:r>
        <w:t xml:space="preserve">.</w:t>
      </w:r>
    </w:p>
    <w:bookmarkEnd w:id="22"/>
    <w:bookmarkEnd w:id="23"/>
    <w:bookmarkStart w:id="32" w:name="performance-benchmarks"/>
    <w:p>
      <w:pPr>
        <w:pStyle w:val="Heading3"/>
      </w:pPr>
      <w:r>
        <w:t xml:space="preserve">1.2 Performance Benchmarks</w:t>
      </w:r>
    </w:p>
    <w:bookmarkStart w:id="27" w:name="stac-t0-world-record-progression"/>
    <w:p>
      <w:pPr>
        <w:pStyle w:val="Heading4"/>
      </w:pPr>
      <w:r>
        <w:t xml:space="preserve">1.2.1 STAC-T0 World Record Progression</w:t>
      </w:r>
    </w:p>
    <w:p>
      <w:pPr>
        <w:pStyle w:val="FirstParagraph"/>
      </w:pPr>
      <w:r>
        <w:t xml:space="preserve">The STAC-T0 benchmark, maintained by STAC Research, is the industry-standard measure of</w:t>
      </w:r>
      <w:r>
        <w:t xml:space="preserve"> </w:t>
      </w:r>
      <w:r>
        <w:rPr>
          <w:iCs/>
          <w:i/>
        </w:rPr>
        <w:t xml:space="preserve">actionable latency</w:t>
      </w:r>
      <w:r>
        <w:t xml:space="preserve"> </w:t>
      </w:r>
      <w:r>
        <w:t xml:space="preserve">in electronic trading — defined as the elapsed time from the last bit of inbound market data required for a trading decision to the first bit of an outbound order message. The benchmark progression over the past decade illustrates the trajectory of FPGA-enabled trading performance.</w:t>
      </w:r>
    </w:p>
    <w:p>
      <w:pPr>
        <w:pStyle w:val="CaptionedFigure"/>
      </w:pPr>
      <w:r>
        <w:drawing>
          <wp:inline>
            <wp:extent cx="5334000" cy="3168498"/>
            <wp:effectExtent b="0" l="0" r="0" t="0"/>
            <wp:docPr descr="STAC-T0 World Record Progression" title="" id="25" name="Picture"/>
            <a:graphic>
              <a:graphicData uri="http://schemas.openxmlformats.org/drawingml/2006/picture">
                <pic:pic>
                  <pic:nvPicPr>
                    <pic:cNvPr descr="chart_stac_t0_progression.png" id="26" name="Picture"/>
                    <pic:cNvPicPr>
                      <a:picLocks noChangeArrowheads="1" noChangeAspect="1"/>
                    </pic:cNvPicPr>
                  </pic:nvPicPr>
                  <pic:blipFill>
                    <a:blip r:embed="rId24"/>
                    <a:stretch>
                      <a:fillRect/>
                    </a:stretch>
                  </pic:blipFill>
                  <pic:spPr bwMode="auto">
                    <a:xfrm>
                      <a:off x="0" y="0"/>
                      <a:ext cx="5334000" cy="3168498"/>
                    </a:xfrm>
                    <a:prstGeom prst="rect">
                      <a:avLst/>
                    </a:prstGeom>
                    <a:noFill/>
                    <a:ln w="9525">
                      <a:noFill/>
                      <a:headEnd/>
                      <a:tailEnd/>
                    </a:ln>
                  </pic:spPr>
                </pic:pic>
              </a:graphicData>
            </a:graphic>
          </wp:inline>
        </w:drawing>
      </w:r>
    </w:p>
    <w:p>
      <w:pPr>
        <w:pStyle w:val="ImageCaption"/>
      </w:pPr>
      <w:r>
        <w:t xml:space="preserve">STAC-T0 World Record Progression</w:t>
      </w:r>
    </w:p>
    <w:p>
      <w:pPr>
        <w:pStyle w:val="BodyText"/>
      </w:pPr>
      <w:r>
        <w:t xml:space="preserve">Prior to 2018, FPGA-based tick-to-trade systems typically reported actionable latencies of 98 ns or higher</w:t>
      </w:r>
      <w:r>
        <w:t xml:space="preserve"> </w:t>
      </w:r>
      <w:r>
        <w:rPr>
          <w:vertAlign w:val="superscript"/>
        </w:rPr>
        <w:footnoteReference w:id="13"/>
      </w:r>
      <w:r>
        <w:t xml:space="preserve">. In 2018, LDA Technologies achieved 24.5 ns using a Xilinx VU9P-3 FPGA paired with Solarflare network acceleration</w:t>
      </w:r>
      <w:r>
        <w:t xml:space="preserve"> </w:t>
      </w:r>
      <w:r>
        <w:rPr>
          <w:vertAlign w:val="superscript"/>
        </w:rPr>
        <w:footnoteReference w:id="14"/>
      </w:r>
      <w:r>
        <w:t xml:space="preserve">. The following year, Cisco (through its Exablaze acquisition) posted 31–44 ns with the ExaNIC FDK-XP, less than half the prior best at the time</w:t>
      </w:r>
      <w:r>
        <w:t xml:space="preserve"> </w:t>
      </w:r>
      <w:r>
        <w:rPr>
          <w:vertAlign w:val="superscript"/>
        </w:rPr>
        <w:footnoteReference w:id="15"/>
      </w:r>
      <w:r>
        <w:t xml:space="preserve">. AMD (then Xilinx) reclaimed the record in 2020 at 24.2 ns</w:t>
      </w:r>
      <w:r>
        <w:t xml:space="preserve"> </w:t>
      </w:r>
      <w:fldSimple w:instr="NOTEREF _Ref_Footnote_12 \h \f">
        <w:r>
          <w:rPr>
            <w:vertAlign w:val="superscript"/>
          </w:rPr>
          <w:t>12</w:t>
        </w:r>
      </w:fldSimple>
      <w:r>
        <w:t xml:space="preserve">. The current world record stands at</w:t>
      </w:r>
      <w:r>
        <w:t xml:space="preserve"> </w:t>
      </w:r>
      <w:r>
        <w:rPr>
          <w:bCs/>
          <w:b/>
        </w:rPr>
        <w:t xml:space="preserve">13.9 ns</w:t>
      </w:r>
      <w:r>
        <w:t xml:space="preserve">, set in June 2024 by the AMD Alveo UL3524 running the Exegy nxFramework — a 49% improvement over the previous record and a 7.0× reduction from pre-2018 baselines</w:t>
      </w:r>
      <w:r>
        <w:t xml:space="preserve"> </w:t>
      </w:r>
      <w:fldSimple w:instr="NOTEREF _Ref_Footnote_12 \h \f">
        <w:r>
          <w:rPr>
            <w:vertAlign w:val="superscript"/>
          </w:rPr>
          <w:t>12</w:t>
        </w:r>
      </w:fldSimple>
      <w:r>
        <w:t xml:space="preserve">.</w:t>
      </w:r>
    </w:p>
    <w:bookmarkEnd w:id="27"/>
    <w:bookmarkStart w:id="31" w:name="component-level-latency-comparison"/>
    <w:p>
      <w:pPr>
        <w:pStyle w:val="Heading4"/>
      </w:pPr>
      <w:r>
        <w:t xml:space="preserve">1.2.2 Component-Level Latency Comparison</w:t>
      </w:r>
    </w:p>
    <w:p>
      <w:pPr>
        <w:pStyle w:val="FirstParagraph"/>
      </w:pPr>
      <w:r>
        <w:t xml:space="preserve">The aggregate tick-to-trade latency is the sum of individual pipeline stages, each of which benefits disproportionately from FPGA acceleration. The following table decomposes the full pipeline into its constituent operations, comparing FPGA implementations against software equivalents running on conventional CPUs.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Component</w:t>
            </w:r>
          </w:p>
        </w:tc>
        <w:tc>
          <w:tcPr/>
          <w:p>
            <w:pPr>
              <w:pStyle w:val="Compact"/>
              <w:jc w:val="center"/>
            </w:pPr>
            <w:r>
              <w:t xml:space="preserve">FPGA Latency</w:t>
            </w:r>
          </w:p>
        </w:tc>
        <w:tc>
          <w:tcPr/>
          <w:p>
            <w:pPr>
              <w:pStyle w:val="Compact"/>
              <w:jc w:val="center"/>
            </w:pPr>
            <w:r>
              <w:t xml:space="preserve">CPU Latency</w:t>
            </w:r>
          </w:p>
        </w:tc>
        <w:tc>
          <w:tcPr/>
          <w:p>
            <w:pPr>
              <w:pStyle w:val="Compact"/>
              <w:jc w:val="center"/>
            </w:pPr>
            <w:r>
              <w:t xml:space="preserve">Improvement Factor</w:t>
            </w:r>
          </w:p>
        </w:tc>
      </w:tr>
      <w:tr>
        <w:tc>
          <w:tcPr/>
          <w:p>
            <w:pPr>
              <w:pStyle w:val="Compact"/>
              <w:jc w:val="left"/>
            </w:pPr>
            <w:r>
              <w:t xml:space="preserve">FIX message parsing</w:t>
            </w:r>
          </w:p>
        </w:tc>
        <w:tc>
          <w:tcPr/>
          <w:p>
            <w:pPr>
              <w:pStyle w:val="Compact"/>
              <w:jc w:val="center"/>
            </w:pPr>
            <w:r>
              <w:t xml:space="preserve">14 ns</w:t>
            </w:r>
            <w:r>
              <w:t xml:space="preserve"> </w:t>
            </w:r>
            <w:fldSimple w:instr="NOTEREF _Ref_Footnote_10 \h \f">
              <w:r>
                <w:rPr>
                  <w:vertAlign w:val="superscript"/>
                </w:rPr>
                <w:t>10</w:t>
              </w:r>
            </w:fldSimple>
          </w:p>
        </w:tc>
        <w:tc>
          <w:tcPr/>
          <w:p>
            <w:pPr>
              <w:pStyle w:val="Compact"/>
              <w:jc w:val="center"/>
            </w:pPr>
            <w:r>
              <w:t xml:space="preserve">10,000 ns (10 μs)</w:t>
            </w:r>
          </w:p>
        </w:tc>
        <w:tc>
          <w:tcPr/>
          <w:p>
            <w:pPr>
              <w:pStyle w:val="Compact"/>
              <w:jc w:val="center"/>
            </w:pPr>
            <w:r>
              <w:t xml:space="preserve">714×</w:t>
            </w:r>
          </w:p>
        </w:tc>
      </w:tr>
      <w:tr>
        <w:tc>
          <w:tcPr/>
          <w:p>
            <w:pPr>
              <w:pStyle w:val="Compact"/>
              <w:jc w:val="left"/>
            </w:pPr>
            <w:r>
              <w:t xml:space="preserve">Order book update</w:t>
            </w:r>
          </w:p>
        </w:tc>
        <w:tc>
          <w:tcPr/>
          <w:p>
            <w:pPr>
              <w:pStyle w:val="Compact"/>
              <w:jc w:val="center"/>
            </w:pPr>
            <w:r>
              <w:t xml:space="preserve">4 ns</w:t>
            </w:r>
            <w:r>
              <w:t xml:space="preserve"> </w:t>
            </w:r>
            <w:fldSimple w:instr="NOTEREF _Ref_Footnote_10 \h \f">
              <w:r>
                <w:rPr>
                  <w:vertAlign w:val="superscript"/>
                </w:rPr>
                <w:t>10</w:t>
              </w:r>
            </w:fldSimple>
          </w:p>
        </w:tc>
        <w:tc>
          <w:tcPr/>
          <w:p>
            <w:pPr>
              <w:pStyle w:val="Compact"/>
              <w:jc w:val="center"/>
            </w:pPr>
            <w:r>
              <w:t xml:space="preserve">50,000 ns (50 μs)</w:t>
            </w:r>
          </w:p>
        </w:tc>
        <w:tc>
          <w:tcPr/>
          <w:p>
            <w:pPr>
              <w:pStyle w:val="Compact"/>
              <w:jc w:val="center"/>
            </w:pPr>
            <w:r>
              <w:t xml:space="preserve">12,500×</w:t>
            </w:r>
          </w:p>
        </w:tc>
      </w:tr>
      <w:tr>
        <w:tc>
          <w:tcPr/>
          <w:p>
            <w:pPr>
              <w:pStyle w:val="Compact"/>
              <w:jc w:val="left"/>
            </w:pPr>
            <w:r>
              <w:t xml:space="preserve">Tick-to-trade (round-trip)</w:t>
            </w:r>
          </w:p>
        </w:tc>
        <w:tc>
          <w:tcPr/>
          <w:p>
            <w:pPr>
              <w:pStyle w:val="Compact"/>
              <w:jc w:val="center"/>
            </w:pPr>
            <w:r>
              <w:t xml:space="preserve">350 ns</w:t>
            </w:r>
            <w:r>
              <w:t xml:space="preserve"> </w:t>
            </w:r>
            <w:fldSimple w:instr="NOTEREF _Ref_Footnote_10 \h \f">
              <w:r>
                <w:rPr>
                  <w:vertAlign w:val="superscript"/>
                </w:rPr>
                <w:t>10</w:t>
              </w:r>
            </w:fldSimple>
          </w:p>
        </w:tc>
        <w:tc>
          <w:tcPr/>
          <w:p>
            <w:pPr>
              <w:pStyle w:val="Compact"/>
              <w:jc w:val="center"/>
            </w:pPr>
            <w:r>
              <w:t xml:space="preserve">200,000 ns (200 μs)</w:t>
            </w:r>
          </w:p>
        </w:tc>
        <w:tc>
          <w:tcPr/>
          <w:p>
            <w:pPr>
              <w:pStyle w:val="Compact"/>
              <w:jc w:val="center"/>
            </w:pPr>
            <w:r>
              <w:t xml:space="preserve">571×</w:t>
            </w:r>
          </w:p>
        </w:tc>
      </w:tr>
    </w:tbl>
    <w:p>
      <w:pPr>
        <w:pStyle w:val="CaptionedFigure"/>
      </w:pPr>
      <w:r>
        <w:drawing>
          <wp:inline>
            <wp:extent cx="5334000" cy="3174420"/>
            <wp:effectExtent b="0" l="0" r="0" t="0"/>
            <wp:docPr descr="Component-Level Latency Comparison" title="" id="29" name="Picture"/>
            <a:graphic>
              <a:graphicData uri="http://schemas.openxmlformats.org/drawingml/2006/picture">
                <pic:pic>
                  <pic:nvPicPr>
                    <pic:cNvPr descr="chart_latency_comparison.png" id="30" name="Picture"/>
                    <pic:cNvPicPr>
                      <a:picLocks noChangeArrowheads="1" noChangeAspect="1"/>
                    </pic:cNvPicPr>
                  </pic:nvPicPr>
                  <pic:blipFill>
                    <a:blip r:embed="rId28"/>
                    <a:stretch>
                      <a:fillRect/>
                    </a:stretch>
                  </pic:blipFill>
                  <pic:spPr bwMode="auto">
                    <a:xfrm>
                      <a:off x="0" y="0"/>
                      <a:ext cx="5334000" cy="3174420"/>
                    </a:xfrm>
                    <a:prstGeom prst="rect">
                      <a:avLst/>
                    </a:prstGeom>
                    <a:noFill/>
                    <a:ln w="9525">
                      <a:noFill/>
                      <a:headEnd/>
                      <a:tailEnd/>
                    </a:ln>
                  </pic:spPr>
                </pic:pic>
              </a:graphicData>
            </a:graphic>
          </wp:inline>
        </w:drawing>
      </w:r>
    </w:p>
    <w:p>
      <w:pPr>
        <w:pStyle w:val="ImageCaption"/>
      </w:pPr>
      <w:r>
        <w:t xml:space="preserve">Component-Level Latency Comparison</w:t>
      </w:r>
    </w:p>
    <w:p>
      <w:pPr>
        <w:pStyle w:val="BodyText"/>
      </w:pPr>
      <w:r>
        <w:t xml:space="preserve">The disparities in this table reflect fundamentally different execution models. FIX parsing on a CPU requires traversing a byte stream through multiple software layers — kernel network stack, application buffer, parsing library — each adding overhead. On an FPGA, the parsing logic is implemented as a hardware state machine operating directly on the wire-level bitstream, consuming a deterministic 14 ns</w:t>
      </w:r>
      <w:r>
        <w:t xml:space="preserve"> </w:t>
      </w:r>
      <w:fldSimple w:instr="NOTEREF _Ref_Footnote_10 \h \f">
        <w:r>
          <w:rPr>
            <w:vertAlign w:val="superscript"/>
          </w:rPr>
          <w:t>10</w:t>
        </w:r>
      </w:fldSimple>
      <w:r>
        <w:t xml:space="preserve">. Similarly, order book updates in FPGA are executed as single-cycle BRAM write operations (4 ns), whereas CPU-based implementations must manage cache coherence, memory allocation, and concurrent access locks that inflate latency to 50 μs</w:t>
      </w:r>
      <w:r>
        <w:t xml:space="preserve"> </w:t>
      </w:r>
      <w:fldSimple w:instr="NOTEREF _Ref_Footnote_10 \h \f">
        <w:r>
          <w:rPr>
            <w:vertAlign w:val="superscript"/>
          </w:rPr>
          <w:t>10</w:t>
        </w:r>
      </w:fldSimple>
      <w:r>
        <w:t xml:space="preserve">. The 12,500× gap in this specific component illustrates why firms competing on microsecond-level strategies view FPGA acceleration as non-discretionary infrastructure rather than an optional optimization.</w:t>
      </w:r>
    </w:p>
    <w:bookmarkEnd w:id="31"/>
    <w:bookmarkEnd w:id="32"/>
    <w:bookmarkStart w:id="35" w:name="the-fpga-vendor-ecosystem"/>
    <w:p>
      <w:pPr>
        <w:pStyle w:val="Heading3"/>
      </w:pPr>
      <w:r>
        <w:t xml:space="preserve">1.3 The FPGA Vendor Ecosystem</w:t>
      </w:r>
    </w:p>
    <w:bookmarkStart w:id="33" w:name="vendor-landscape"/>
    <w:p>
      <w:pPr>
        <w:pStyle w:val="Heading4"/>
      </w:pPr>
      <w:r>
        <w:t xml:space="preserve">1.3.1 Vendor Landscape</w:t>
      </w:r>
    </w:p>
    <w:p>
      <w:pPr>
        <w:pStyle w:val="FirstParagraph"/>
      </w:pPr>
      <w:r>
        <w:t xml:space="preserve">The FPGA vendor ecosystem serving financial markets has consolidated around a small number of specialized providers, each occupying a distinct position in the technology stack:</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Vendor / Provider</w:t>
            </w:r>
          </w:p>
        </w:tc>
        <w:tc>
          <w:tcPr/>
          <w:p>
            <w:pPr>
              <w:pStyle w:val="Compact"/>
              <w:jc w:val="left"/>
            </w:pPr>
            <w:r>
              <w:t xml:space="preserve">Key Products</w:t>
            </w:r>
          </w:p>
        </w:tc>
        <w:tc>
          <w:tcPr/>
          <w:p>
            <w:pPr>
              <w:pStyle w:val="Compact"/>
              <w:jc w:val="center"/>
            </w:pPr>
            <w:r>
              <w:t xml:space="preserve">Latency / Performance</w:t>
            </w:r>
          </w:p>
        </w:tc>
        <w:tc>
          <w:tcPr/>
          <w:p>
            <w:pPr>
              <w:pStyle w:val="Compact"/>
              <w:jc w:val="left"/>
            </w:pPr>
            <w:r>
              <w:t xml:space="preserve">Market Position</w:t>
            </w:r>
          </w:p>
        </w:tc>
      </w:tr>
      <w:tr>
        <w:tc>
          <w:tcPr/>
          <w:p>
            <w:pPr>
              <w:pStyle w:val="Compact"/>
              <w:jc w:val="left"/>
            </w:pPr>
            <w:r>
              <w:t xml:space="preserve">AMD (Xilinx)</w:t>
            </w:r>
          </w:p>
        </w:tc>
        <w:tc>
          <w:tcPr/>
          <w:p>
            <w:pPr>
              <w:pStyle w:val="Compact"/>
              <w:jc w:val="left"/>
            </w:pPr>
            <w:r>
              <w:t xml:space="preserve">Alveo UL3524, UL3422, Vitis</w:t>
            </w:r>
          </w:p>
        </w:tc>
        <w:tc>
          <w:tcPr/>
          <w:p>
            <w:pPr>
              <w:pStyle w:val="Compact"/>
              <w:jc w:val="center"/>
            </w:pPr>
            <w:r>
              <w:t xml:space="preserve">13.9 ns STAC-T0</w:t>
            </w:r>
            <w:r>
              <w:t xml:space="preserve"> </w:t>
            </w:r>
            <w:fldSimple w:instr="NOTEREF _Ref_Footnote_12 \h \f">
              <w:r>
                <w:rPr>
                  <w:vertAlign w:val="superscript"/>
                </w:rPr>
                <w:t>12</w:t>
              </w:r>
            </w:fldSimple>
          </w:p>
        </w:tc>
        <w:tc>
          <w:tcPr/>
          <w:p>
            <w:pPr>
              <w:pStyle w:val="Compact"/>
              <w:jc w:val="left"/>
            </w:pPr>
            <w:r>
              <w:t xml:space="preserve">Dominant; purpose-built FinTech cards</w:t>
            </w:r>
          </w:p>
        </w:tc>
      </w:tr>
      <w:tr>
        <w:tc>
          <w:tcPr/>
          <w:p>
            <w:pPr>
              <w:pStyle w:val="Compact"/>
              <w:jc w:val="left"/>
            </w:pPr>
            <w:r>
              <w:t xml:space="preserve">Intel (Altera)</w:t>
            </w:r>
          </w:p>
        </w:tc>
        <w:tc>
          <w:tcPr/>
          <w:p>
            <w:pPr>
              <w:pStyle w:val="Compact"/>
              <w:jc w:val="left"/>
            </w:pPr>
            <w:r>
              <w:t xml:space="preserve">Agilex FPGA + VOLLO</w:t>
            </w:r>
          </w:p>
        </w:tc>
        <w:tc>
          <w:tcPr/>
          <w:p>
            <w:pPr>
              <w:pStyle w:val="Compact"/>
              <w:jc w:val="center"/>
            </w:pPr>
            <w:r>
              <w:t xml:space="preserve">24 μs LSTM inference</w:t>
            </w:r>
            <w:r>
              <w:t xml:space="preserve"> </w:t>
            </w:r>
            <w:r>
              <w:rPr>
                <w:vertAlign w:val="superscript"/>
              </w:rPr>
              <w:footnoteReference w:id="16"/>
            </w:r>
          </w:p>
        </w:tc>
        <w:tc>
          <w:tcPr/>
          <w:p>
            <w:pPr>
              <w:pStyle w:val="Compact"/>
              <w:jc w:val="left"/>
            </w:pPr>
            <w:r>
              <w:t xml:space="preserve">ML inference specialization</w:t>
            </w:r>
          </w:p>
        </w:tc>
      </w:tr>
      <w:tr>
        <w:tc>
          <w:tcPr/>
          <w:p>
            <w:pPr>
              <w:pStyle w:val="Compact"/>
              <w:jc w:val="left"/>
            </w:pPr>
            <w:r>
              <w:t xml:space="preserve">Exegy / Enyx / NovaSparks</w:t>
            </w:r>
          </w:p>
        </w:tc>
        <w:tc>
          <w:tcPr/>
          <w:p>
            <w:pPr>
              <w:pStyle w:val="Compact"/>
              <w:jc w:val="left"/>
            </w:pPr>
            <w:r>
              <w:t xml:space="preserve">nxFramework, nxFeed, NovaTick</w:t>
            </w:r>
          </w:p>
        </w:tc>
        <w:tc>
          <w:tcPr/>
          <w:p>
            <w:pPr>
              <w:pStyle w:val="Compact"/>
              <w:jc w:val="center"/>
            </w:pPr>
            <w:r>
              <w:t xml:space="preserve">&lt;1.2 μs feed handler</w:t>
            </w:r>
            <w:r>
              <w:t xml:space="preserve"> </w:t>
            </w:r>
            <w:r>
              <w:rPr>
                <w:vertAlign w:val="superscript"/>
              </w:rPr>
              <w:footnoteReference w:id="17"/>
            </w:r>
          </w:p>
        </w:tc>
        <w:tc>
          <w:tcPr/>
          <w:p>
            <w:pPr>
              <w:pStyle w:val="Compact"/>
              <w:jc w:val="left"/>
            </w:pPr>
            <w:r>
              <w:t xml:space="preserve">Integrated trading solutions (merged Jan 2026)</w:t>
            </w:r>
          </w:p>
        </w:tc>
      </w:tr>
      <w:tr>
        <w:tc>
          <w:tcPr/>
          <w:p>
            <w:pPr>
              <w:pStyle w:val="Compact"/>
              <w:jc w:val="left"/>
            </w:pPr>
            <w:r>
              <w:t xml:space="preserve">Cisco (Exablaze)</w:t>
            </w:r>
          </w:p>
        </w:tc>
        <w:tc>
          <w:tcPr/>
          <w:p>
            <w:pPr>
              <w:pStyle w:val="Compact"/>
              <w:jc w:val="left"/>
            </w:pPr>
            <w:r>
              <w:t xml:space="preserve">Nexus 3550, SmartNIC</w:t>
            </w:r>
          </w:p>
        </w:tc>
        <w:tc>
          <w:tcPr/>
          <w:p>
            <w:pPr>
              <w:pStyle w:val="Compact"/>
              <w:jc w:val="center"/>
            </w:pPr>
            <w:r>
              <w:t xml:space="preserve">&lt;5 ns L1 switching</w:t>
            </w:r>
            <w:r>
              <w:t xml:space="preserve"> </w:t>
            </w:r>
            <w:r>
              <w:rPr>
                <w:vertAlign w:val="superscript"/>
              </w:rPr>
              <w:footnoteReference w:id="18"/>
            </w:r>
          </w:p>
        </w:tc>
        <w:tc>
          <w:tcPr/>
          <w:p>
            <w:pPr>
              <w:pStyle w:val="Compact"/>
              <w:jc w:val="left"/>
            </w:pPr>
            <w:r>
              <w:t xml:space="preserve">In-network FPGA infrastructure</w:t>
            </w:r>
          </w:p>
        </w:tc>
      </w:tr>
      <w:tr>
        <w:tc>
          <w:tcPr/>
          <w:p>
            <w:pPr>
              <w:pStyle w:val="Compact"/>
              <w:jc w:val="left"/>
            </w:pPr>
            <w:r>
              <w:t xml:space="preserve">Arista</w:t>
            </w:r>
          </w:p>
        </w:tc>
        <w:tc>
          <w:tcPr/>
          <w:p>
            <w:pPr>
              <w:pStyle w:val="Compact"/>
              <w:jc w:val="left"/>
            </w:pPr>
            <w:r>
              <w:t xml:space="preserve">7130 Series, MetaMux, SwitchApp</w:t>
            </w:r>
          </w:p>
        </w:tc>
        <w:tc>
          <w:tcPr/>
          <w:p>
            <w:pPr>
              <w:pStyle w:val="Compact"/>
              <w:jc w:val="center"/>
            </w:pPr>
            <w:r>
              <w:t xml:space="preserve">4 ns port-to-port</w:t>
            </w:r>
            <w:r>
              <w:t xml:space="preserve"> </w:t>
            </w:r>
            <w:r>
              <w:rPr>
                <w:vertAlign w:val="superscript"/>
              </w:rPr>
              <w:footnoteReference w:id="19"/>
            </w:r>
          </w:p>
        </w:tc>
        <w:tc>
          <w:tcPr/>
          <w:p>
            <w:pPr>
              <w:pStyle w:val="Compact"/>
              <w:jc w:val="left"/>
            </w:pPr>
            <w:r>
              <w:t xml:space="preserve">Programmable switching + FPGAs</w:t>
            </w:r>
          </w:p>
        </w:tc>
      </w:tr>
    </w:tbl>
    <w:p>
      <w:pPr>
        <w:pStyle w:val="BodyText"/>
      </w:pPr>
      <w:r>
        <w:t xml:space="preserve">AMD dominates the market for trading-specific FPGA accelerators through its Alveo UL series, purpose-built cards with transceiver architectures optimized for 10GbE/25GbE financial data feeds</w:t>
      </w:r>
      <w:r>
        <w:t xml:space="preserve"> </w:t>
      </w:r>
      <w:fldSimple w:instr="NOTEREF _Ref_Footnote_2 \h \f">
        <w:r>
          <w:rPr>
            <w:vertAlign w:val="superscript"/>
          </w:rPr>
          <w:t>2</w:t>
        </w:r>
      </w:fldSimple>
      <w:r>
        <w:t xml:space="preserve">. Intel has carved out a niche in machine-learning inference, achieving 24 μs LSTM latency on the STAC-ML Markets benchmark with its Agilex platform — competitive with NVIDIA GPU alternatives</w:t>
      </w:r>
      <w:r>
        <w:t xml:space="preserve"> </w:t>
      </w:r>
      <w:fldSimple w:instr="NOTEREF _Ref_Footnote_16 \h \f">
        <w:r>
          <w:rPr>
            <w:vertAlign w:val="superscript"/>
          </w:rPr>
          <w:t>16</w:t>
        </w:r>
      </w:fldSimple>
      <w:r>
        <w:t xml:space="preserve">. Exegy (which acquired Enyx in 2023 and NovaSparks in January 2026) now offers the most comprehensive vertically integrated stack, from feed handlers (NovaTick, supporting 75+ exchange feeds) to execution engines (nxAccess) to the underlying development framework (nxFramework with 60+ IP cores)</w:t>
      </w:r>
      <w:r>
        <w:t xml:space="preserve"> </w:t>
      </w:r>
      <w:fldSimple w:instr="NOTEREF _Ref_Footnote_17 \h \f">
        <w:r>
          <w:rPr>
            <w:vertAlign w:val="superscript"/>
          </w:rPr>
          <w:t>17</w:t>
        </w:r>
      </w:fldSimple>
      <w:r>
        <w:t xml:space="preserve">.</w:t>
      </w:r>
    </w:p>
    <w:p>
      <w:pPr>
        <w:pStyle w:val="BodyText"/>
      </w:pPr>
      <w:r>
        <w:t xml:space="preserve">At the networking layer, both Cisco (via its 2019 Exablaze acquisition) and Arista offer FPGA-enabled switches that place programmable logic directly in the data path. The Cisco Nexus 3550 achieves Layer-1 port-to-port latency below 5 ns, while Arista’s 7130 Connect Series offers 4 ns switching with up to three FPGAs per device for in-network trading logic</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These products enable a class of</w:t>
      </w:r>
      <w:r>
        <w:t xml:space="preserve"> </w:t>
      </w:r>
      <w:r>
        <w:rPr>
          <w:iCs/>
          <w:i/>
        </w:rPr>
        <w:t xml:space="preserve">in-network computation</w:t>
      </w:r>
      <w:r>
        <w:t xml:space="preserve"> </w:t>
      </w:r>
      <w:r>
        <w:t xml:space="preserve">where trading decisions are executed within the switch fabric itself, before data ever reaches a server.</w:t>
      </w:r>
    </w:p>
    <w:bookmarkEnd w:id="33"/>
    <w:bookmarkStart w:id="34" w:name="trading-firm-adoption-patterns"/>
    <w:p>
      <w:pPr>
        <w:pStyle w:val="Heading4"/>
      </w:pPr>
      <w:r>
        <w:t xml:space="preserve">1.3.2 Trading Firm Adoption Patterns</w:t>
      </w:r>
    </w:p>
    <w:p>
      <w:pPr>
        <w:pStyle w:val="FirstParagraph"/>
      </w:pPr>
      <w:r>
        <w:t xml:space="preserve">Adoption of FPGA technology among major trading firms follows a clear bifurcation. Firms competing on pure latency — primarily market makers and HFTs — have made substantial investments in custom hardware.</w:t>
      </w:r>
    </w:p>
    <w:p>
      <w:pPr>
        <w:pStyle w:val="BodyText"/>
      </w:pPr>
      <w:r>
        <w:rPr>
          <w:bCs/>
          <w:b/>
        </w:rPr>
        <w:t xml:space="preserve">Hudson River Trading (HRT)</w:t>
      </w:r>
      <w:r>
        <w:t xml:space="preserve"> </w:t>
      </w:r>
      <w:r>
        <w:t xml:space="preserve">operates what is widely regarded as the most hardware-intensive trading infrastructure in the industry. The firm designs and manufactures custom FPGA and ASIC hardware in-house, from bespoke circuit boards to custom Network Interface Cards (NICs), with FPGA systems at the core of its co-located trading infrastructure across NYSE, NASDAQ, CME, CBOE, and European and Asian venues</w:t>
      </w:r>
      <w:r>
        <w:t xml:space="preserve"> </w:t>
      </w:r>
      <w:r>
        <w:rPr>
          <w:vertAlign w:val="superscript"/>
        </w:rPr>
        <w:footnoteReference w:id="20"/>
      </w:r>
      <w:r>
        <w:t xml:space="preserve">.</w:t>
      </w:r>
      <w:r>
        <w:t xml:space="preserve"> </w:t>
      </w:r>
      <w:r>
        <w:rPr>
          <w:bCs/>
          <w:b/>
        </w:rPr>
        <w:t xml:space="preserve">Jump Trading</w:t>
      </w:r>
      <w:r>
        <w:t xml:space="preserve"> </w:t>
      </w:r>
      <w:r>
        <w:t xml:space="preserve">similarly maintains a dedicated FPGA engineering team and has deployed custom networking equipment alongside its widely reported microwave and millimeter-wave communication networks</w:t>
      </w:r>
      <w:r>
        <w:t xml:space="preserve"> </w:t>
      </w:r>
      <w:r>
        <w:rPr>
          <w:vertAlign w:val="superscript"/>
        </w:rPr>
        <w:footnoteReference w:id="21"/>
      </w:r>
      <w:r>
        <w:t xml:space="preserve">. The firm’s</w:t>
      </w:r>
      <w:r>
        <w:t xml:space="preserve"> </w:t>
      </w:r>
      <w:r>
        <w:t xml:space="preserve">“</w:t>
      </w:r>
      <w:r>
        <w:t xml:space="preserve">Wiredancer</w:t>
      </w:r>
      <w:r>
        <w:t xml:space="preserve">”</w:t>
      </w:r>
      <w:r>
        <w:t xml:space="preserve"> </w:t>
      </w:r>
      <w:r>
        <w:t xml:space="preserve">project extends FPGA acceleration to blockchain validator performance, indicating a broader hardware acceleration strategy beyond traditional trading</w:t>
      </w:r>
      <w:r>
        <w:t xml:space="preserve"> </w:t>
      </w:r>
      <w:fldSimple w:instr="NOTEREF _Ref_Footnote_1 \h \f">
        <w:r>
          <w:rPr>
            <w:vertAlign w:val="superscript"/>
          </w:rPr>
          <w:t>1</w:t>
        </w:r>
      </w:fldSimple>
      <w:r>
        <w:t xml:space="preserve">.</w:t>
      </w:r>
    </w:p>
    <w:p>
      <w:pPr>
        <w:pStyle w:val="BodyText"/>
      </w:pPr>
      <w:r>
        <w:rPr>
          <w:bCs/>
          <w:b/>
        </w:rPr>
        <w:t xml:space="preserve">Citadel Securities</w:t>
      </w:r>
      <w:r>
        <w:t xml:space="preserve"> </w:t>
      </w:r>
      <w:r>
        <w:t xml:space="preserve">confirmed its use of FPGA technology through patent litigation filed in December 2024 by Network-1 Technologies, which alleged infringement of patents covering</w:t>
      </w:r>
      <w:r>
        <w:t xml:space="preserve"> </w:t>
      </w:r>
      <w:r>
        <w:t xml:space="preserve">“</w:t>
      </w:r>
      <w:r>
        <w:t xml:space="preserve">clock domain management technology that provides critical transaction latency gains in trading systems where the difference between success and failure may be measured in nanoseconds</w:t>
      </w:r>
      <w:r>
        <w:t xml:space="preserve">”</w:t>
      </w:r>
      <w:r>
        <w:t xml:space="preserve"> </w:t>
      </w:r>
      <w:r>
        <w:rPr>
          <w:vertAlign w:val="superscript"/>
        </w:rPr>
        <w:footnoteReference w:id="22"/>
      </w:r>
      <w:r>
        <w:t xml:space="preserve">. The specific patents cited (US 10,931,286; US 11,128,305; US 11,575,381) all pertain to FPGA hardware implementations in HFT systems.</w:t>
      </w:r>
    </w:p>
    <w:p>
      <w:pPr>
        <w:pStyle w:val="BodyText"/>
      </w:pPr>
      <w:r>
        <w:t xml:space="preserve">Conversely,</w:t>
      </w:r>
      <w:r>
        <w:t xml:space="preserve"> </w:t>
      </w:r>
      <w:r>
        <w:rPr>
          <w:bCs/>
          <w:b/>
        </w:rPr>
        <w:t xml:space="preserve">Jane Street</w:t>
      </w:r>
      <w:r>
        <w:t xml:space="preserve"> </w:t>
      </w:r>
      <w:r>
        <w:t xml:space="preserve">and</w:t>
      </w:r>
      <w:r>
        <w:t xml:space="preserve"> </w:t>
      </w:r>
      <w:r>
        <w:rPr>
          <w:bCs/>
          <w:b/>
        </w:rPr>
        <w:t xml:space="preserve">Two Sigma</w:t>
      </w:r>
      <w:r>
        <w:t xml:space="preserve"> </w:t>
      </w:r>
      <w:r>
        <w:t xml:space="preserve">remain predominantly software-driven. Jane Street’s trading systems are built almost entirely in OCaml, a functional programming language chosen for its expressiveness and correctness guarantees rather than raw execution speed</w:t>
      </w:r>
      <w:r>
        <w:t xml:space="preserve"> </w:t>
      </w:r>
      <w:fldSimple w:instr="NOTEREF _Ref_Footnote_20 \h \f">
        <w:r>
          <w:rPr>
            <w:vertAlign w:val="superscript"/>
          </w:rPr>
          <w:t>20</w:t>
        </w:r>
      </w:fldSimple>
      <w:r>
        <w:t xml:space="preserve">. Two Sigma, focused on longer-horizon systematic strategies, relies on machine learning and big data infrastructure where microsecond-level hardware acceleration offers limited alpha contribution relative to model sophistication</w:t>
      </w:r>
      <w:r>
        <w:t xml:space="preserve"> </w:t>
      </w:r>
      <w:fldSimple w:instr="NOTEREF _Ref_Footnote_20 \h \f">
        <w:r>
          <w:rPr>
            <w:vertAlign w:val="superscript"/>
          </w:rPr>
          <w:t>20</w:t>
        </w:r>
      </w:fldSimple>
      <w:r>
        <w:t xml:space="preserve">.</w:t>
      </w:r>
    </w:p>
    <w:p>
      <w:pPr>
        <w:pStyle w:val="BodyText"/>
      </w:pPr>
      <w:r>
        <w:t xml:space="preserve">This divergence — hardware-centric versus software-centric — maps closely to strategy holding period. Firms whose edge depends on being first to react to market events (market making, arbitrage) find FPGA acceleration essential. Firms whose edge derives from predictive modeling over minutes to days derive limited marginal benefit from nanosecond-level execution infrastructure. The material presented in this chapter establishes the technical foundation for evaluating FPGA applicability to the specific domains examined in subsequent chapters: delta-one trading, stock loan, and inventory management.</w:t>
      </w:r>
    </w:p>
    <w:p>
      <w:r>
        <w:pict>
          <v:rect style="width:0;height:1.5pt" o:hralign="center" o:hrstd="t" o:hr="t"/>
        </w:pict>
      </w:r>
    </w:p>
    <w:bookmarkEnd w:id="34"/>
    <w:bookmarkEnd w:id="35"/>
    <w:bookmarkEnd w:id="36"/>
    <w:bookmarkStart w:id="54" w:name="fpga-in-delta-one-trading"/>
    <w:p>
      <w:pPr>
        <w:pStyle w:val="Heading2"/>
      </w:pPr>
      <w:r>
        <w:t xml:space="preserve">2. FPGA in Delta-One Trading</w:t>
      </w:r>
    </w:p>
    <w:p>
      <w:pPr>
        <w:pStyle w:val="FirstParagraph"/>
      </w:pPr>
      <w:r>
        <w:t xml:space="preserve">Delta-one trading is the most mature application domain for FPGA acceleration in financial markets. The strategies—index arbitrage, ETF creation and redemption, synthetic replication, and futures basis trading—share a common computational signature: linear payoff profiles demanding continuous price alignment across venues and instruments within microsecond-level latency budgets. This section examines the mechanics of delta-one trading, documents confirmed FPGA deployments, and constructs an ROI framework grounded in empirical latency benchmarks.</w:t>
      </w:r>
    </w:p>
    <w:bookmarkStart w:id="40" w:name="delta-one-trading-mechanics"/>
    <w:p>
      <w:pPr>
        <w:pStyle w:val="Heading3"/>
      </w:pPr>
      <w:r>
        <w:t xml:space="preserve">2.1 Delta-One Trading Mechanics</w:t>
      </w:r>
    </w:p>
    <w:bookmarkStart w:id="37" w:name="product-landscape"/>
    <w:p>
      <w:pPr>
        <w:pStyle w:val="Heading4"/>
      </w:pPr>
      <w:r>
        <w:t xml:space="preserve">2.1.1 Product Landscape</w:t>
      </w:r>
    </w:p>
    <w:p>
      <w:pPr>
        <w:pStyle w:val="FirstParagraph"/>
      </w:pPr>
      <w:r>
        <w:t xml:space="preserve">Delta-one instruments are derivatives whose value changes by approximately one unit for every one-unit change in the underlying asset price, maintaining a delta of approximately 1.0</w:t>
      </w:r>
      <w:r>
        <w:t xml:space="preserve"> </w:t>
      </w:r>
      <w:fldSimple w:instr="NOTEREF _Ref_Footnote_17 \h \f">
        <w:r>
          <w:rPr>
            <w:vertAlign w:val="superscript"/>
          </w:rPr>
          <w:t>17</w:t>
        </w:r>
      </w:fldSimple>
      <w:r>
        <w:t xml:space="preserve"> </w:t>
      </w:r>
      <w:r>
        <w:rPr>
          <w:vertAlign w:val="superscript"/>
        </w:rPr>
        <w:footnoteReference w:id="23"/>
      </w:r>
      <w:r>
        <w:t xml:space="preserve">. The principal product categories include exchange-traded funds (ETFs), which package baskets of securities into single tradable instruments; total return swaps (TRS), in which one party pays the total return of a reference asset in exchange for a floating-rate payment; equity swaps, which exchange returns linked to stock or index performance; futures and forwards; and contracts for difference (CFDs)</w:t>
      </w:r>
      <w:r>
        <w:t xml:space="preserve"> </w:t>
      </w:r>
      <w:fldSimple w:instr="NOTEREF _Ref_Footnote_23 \h \f">
        <w:r>
          <w:rPr>
            <w:vertAlign w:val="superscript"/>
          </w:rPr>
          <w:t>23</w:t>
        </w:r>
      </w:fldSimple>
      <w:r>
        <w:t xml:space="preserve">. The absence of convexity means no gamma exposure, and hedging ratios remain fixed rather than requiring continuous recalculation—making these products computationally tractable but extraordinarily sensitive to execution latency.</w:t>
      </w:r>
    </w:p>
    <w:bookmarkEnd w:id="37"/>
    <w:bookmarkStart w:id="38" w:name="Xd76233f8806da9c507a9b7ddddd959e96eb1fda"/>
    <w:p>
      <w:pPr>
        <w:pStyle w:val="Heading4"/>
      </w:pPr>
      <w:r>
        <w:t xml:space="preserve">2.1.2 Key Strategies and Computational Requirements</w:t>
      </w:r>
    </w:p>
    <w:p>
      <w:pPr>
        <w:pStyle w:val="FirstParagraph"/>
      </w:pPr>
      <w:r>
        <w:t xml:space="preserve">Four strategies dominate the delta-one trading landscape, each presenting distinct computational workloads that map directly onto FPGA acceleration opportunities.</w:t>
      </w:r>
    </w:p>
    <w:p>
      <w:pPr>
        <w:pStyle w:val="BodyText"/>
      </w:pPr>
      <w:r>
        <w:rPr>
          <w:bCs/>
          <w:b/>
        </w:rPr>
        <w:t xml:space="preserve">Index arbitrage</w:t>
      </w:r>
      <w:r>
        <w:t xml:space="preserve"> </w:t>
      </w:r>
      <w:r>
        <w:t xml:space="preserve">exploits deviations between index futures prices and the theoretical fair value of the underlying spot basket. The cost-of-carry model defines the equilibrium relationship</w:t>
      </w:r>
      <w:r>
        <w:t xml:space="preserve"> </w:t>
      </w:r>
      <w:r>
        <w:rPr>
          <w:vertAlign w:val="superscript"/>
        </w:rPr>
        <w:footnoteReference w:id="24"/>
      </w:r>
      <w:r>
        <w:t xml:space="preserve">:</w:t>
      </w:r>
    </w:p>
    <w:p>
      <w:pPr>
        <w:pStyle w:val="BodyText"/>
      </w:pPr>
      <m:oMathPara>
        <m:oMathParaPr>
          <m:jc m:val="center"/>
        </m:oMathParaPr>
        <m:oMath>
          <m:r>
            <m:t>F</m:t>
          </m:r>
          <m:d>
            <m:dPr>
              <m:begChr m:val="("/>
              <m:endChr m:val=")"/>
              <m:sepChr m:val=""/>
              <m:grow/>
            </m:dPr>
            <m:e>
              <m:r>
                <m:t>t</m:t>
              </m:r>
              <m:r>
                <m:rPr>
                  <m:sty m:val="p"/>
                </m:rPr>
                <m:t>,</m:t>
              </m:r>
              <m:r>
                <m:t>T</m:t>
              </m:r>
            </m:e>
          </m:d>
          <m:r>
            <m:rPr>
              <m:sty m:val="p"/>
            </m:rPr>
            <m:t>=</m:t>
          </m:r>
          <m:r>
            <m:t>S</m:t>
          </m:r>
          <m:d>
            <m:dPr>
              <m:begChr m:val="("/>
              <m:endChr m:val=")"/>
              <m:sepChr m:val=""/>
              <m:grow/>
            </m:dPr>
            <m:e>
              <m:r>
                <m:t>t</m:t>
              </m:r>
            </m:e>
          </m:d>
          <m:r>
            <m:rPr>
              <m:sty m:val="p"/>
            </m:rPr>
            <m:t>⋅</m:t>
          </m:r>
          <m:sSup>
            <m:e>
              <m:r>
                <m:t>e</m:t>
              </m:r>
            </m:e>
            <m:sup>
              <m:d>
                <m:dPr>
                  <m:begChr m:val="("/>
                  <m:endChr m:val=")"/>
                  <m:sepChr m:val=""/>
                  <m:grow/>
                </m:dPr>
                <m:e>
                  <m:r>
                    <m:t>r</m:t>
                  </m:r>
                  <m:r>
                    <m:rPr>
                      <m:sty m:val="p"/>
                    </m:rPr>
                    <m:t>−</m:t>
                  </m:r>
                  <m:r>
                    <m:t>q</m:t>
                  </m:r>
                </m:e>
              </m:d>
              <m:d>
                <m:dPr>
                  <m:begChr m:val="("/>
                  <m:endChr m:val=")"/>
                  <m:sepChr m:val=""/>
                  <m:grow/>
                </m:dPr>
                <m:e>
                  <m:r>
                    <m:t>T</m:t>
                  </m:r>
                  <m:r>
                    <m:rPr>
                      <m:sty m:val="p"/>
                    </m:rPr>
                    <m:t>−</m:t>
                  </m:r>
                  <m:r>
                    <m:t>t</m:t>
                  </m:r>
                </m:e>
              </m:d>
            </m:sup>
          </m:sSup>
        </m:oMath>
      </m:oMathPara>
    </w:p>
    <w:p>
      <w:pPr>
        <w:pStyle w:val="FirstParagraph"/>
      </w:pPr>
      <w:r>
        <w:t xml:space="preserve">where</w:t>
      </w:r>
      <w:r>
        <w:t xml:space="preserve"> </w:t>
      </w:r>
      <m:oMath>
        <m:r>
          <m:t>S</m:t>
        </m:r>
        <m:d>
          <m:dPr>
            <m:begChr m:val="("/>
            <m:endChr m:val=")"/>
            <m:sepChr m:val=""/>
            <m:grow/>
          </m:dPr>
          <m:e>
            <m:r>
              <m:t>t</m:t>
            </m:r>
          </m:e>
        </m:d>
      </m:oMath>
      <w:r>
        <w:t xml:space="preserve"> </w:t>
      </w:r>
      <w:r>
        <w:t xml:space="preserve">is the current index level,</w:t>
      </w:r>
      <w:r>
        <w:t xml:space="preserve"> </w:t>
      </w:r>
      <m:oMath>
        <m:r>
          <m:t>r</m:t>
        </m:r>
      </m:oMath>
      <w:r>
        <w:t xml:space="preserve"> </w:t>
      </w:r>
      <w:r>
        <w:t xml:space="preserve">the risk-free rate,</w:t>
      </w:r>
      <w:r>
        <w:t xml:space="preserve"> </w:t>
      </w:r>
      <m:oMath>
        <m:r>
          <m:t>q</m:t>
        </m:r>
      </m:oMath>
      <w:r>
        <w:t xml:space="preserve"> </w:t>
      </w:r>
      <w:r>
        <w:t xml:space="preserve">the continuous dividend yield, and</w:t>
      </w:r>
      <w:r>
        <w:t xml:space="preserve"> </w:t>
      </w:r>
      <m:oMath>
        <m:r>
          <m:t>T</m:t>
        </m:r>
        <m:r>
          <m:rPr>
            <m:sty m:val="p"/>
          </m:rPr>
          <m:t>−</m:t>
        </m:r>
        <m:r>
          <m:t>t</m:t>
        </m:r>
      </m:oMath>
      <w:r>
        <w:t xml:space="preserve"> </w:t>
      </w:r>
      <w:r>
        <w:t xml:space="preserve">the time to expiration. When the observed futures price diverges from fair value by more than the transaction cost threshold, arbitrageurs buy the cheap leg and sell the expensive one, capturing a riskless premium that decays as the market reconverges. The computational burden lies in calculating the basket fair value in real time: for the S&amp;P 500, each NAV recalculation requires 500 multiplications (constituent weight multiplied by current price) followed by 500 additions (reduction to a single sum). During periods of market stress, when all 500 constituents may update within a single millisecond, sequential CPU processing at 50–200 microseconds per recalculation introduces stale-pricing risk that can erase arbitrage profits before an order reaches the exchange</w:t>
      </w:r>
      <w:r>
        <w:t xml:space="preserve"> </w:t>
      </w:r>
      <w:fldSimple w:instr="NOTEREF _Ref_Footnote_3 \h \f">
        <w:r>
          <w:rPr>
            <w:vertAlign w:val="superscript"/>
          </w:rPr>
          <w:t>3</w:t>
        </w:r>
      </w:fldSimple>
      <w:r>
        <w:t xml:space="preserve">.</w:t>
      </w:r>
    </w:p>
    <w:p>
      <w:pPr>
        <w:pStyle w:val="BodyText"/>
      </w:pPr>
      <w:r>
        <w:rPr>
          <w:bCs/>
          <w:b/>
        </w:rPr>
        <w:t xml:space="preserve">ETF creation and redemption arbitrage</w:t>
      </w:r>
      <w:r>
        <w:t xml:space="preserve"> </w:t>
      </w:r>
      <w:r>
        <w:t xml:space="preserve">relies on a mechanism available only to Authorized Participants (APs), of which there are typically 25–35 per ETF</w:t>
      </w:r>
      <w:r>
        <w:t xml:space="preserve"> </w:t>
      </w:r>
      <w:fldSimple w:instr="NOTEREF _Ref_Footnote_15 \h \f">
        <w:r>
          <w:rPr>
            <w:vertAlign w:val="superscript"/>
          </w:rPr>
          <w:t>15</w:t>
        </w:r>
      </w:fldSimple>
      <w:r>
        <w:t xml:space="preserve">. When an ETF trades at a premium to NAV, APs purchase the underlying basket, deliver it to the issuer, receive created ETF shares, and sell them. Creation units range from 25,000 to 100,000 shares</w:t>
      </w:r>
      <w:r>
        <w:t xml:space="preserve"> </w:t>
      </w:r>
      <w:fldSimple w:instr="NOTEREF _Ref_Footnote_19 \h \f">
        <w:r>
          <w:rPr>
            <w:vertAlign w:val="superscript"/>
          </w:rPr>
          <w:t>19</w:t>
        </w:r>
      </w:fldSimple>
      <w:r>
        <w:t xml:space="preserve">, and the entire cycle must complete before competing APs narrow the spread.</w:t>
      </w:r>
    </w:p>
    <w:p>
      <w:pPr>
        <w:pStyle w:val="BodyText"/>
      </w:pPr>
      <w:r>
        <w:rPr>
          <w:bCs/>
          <w:b/>
        </w:rPr>
        <w:t xml:space="preserve">Synthetic replication via swaps</w:t>
      </w:r>
      <w:r>
        <w:t xml:space="preserve"> </w:t>
      </w:r>
      <w:r>
        <w:t xml:space="preserve">provides index exposure without physical ownership, requiring real-time mark-to-market valuation and continuous hedging of the synthetic exposure with the physical basket at sub-millisecond latency</w:t>
      </w:r>
      <w:r>
        <w:t xml:space="preserve"> </w:t>
      </w:r>
      <w:fldSimple w:instr="NOTEREF _Ref_Footnote_9 \h \f">
        <w:r>
          <w:rPr>
            <w:vertAlign w:val="superscript"/>
          </w:rPr>
          <w:t>9</w:t>
        </w:r>
      </w:fldSimple>
      <w:r>
        <w:t xml:space="preserve">.</w:t>
      </w:r>
      <w:r>
        <w:t xml:space="preserve"> </w:t>
      </w:r>
      <w:r>
        <w:rPr>
          <w:bCs/>
          <w:b/>
        </w:rPr>
        <w:t xml:space="preserve">Futures basis trading</w:t>
      </w:r>
      <w:r>
        <w:t xml:space="preserve"> </w:t>
      </w:r>
      <w:r>
        <w:t xml:space="preserve">captures mispricing between futures and spot markets as the basis converges toward zero at expiration</w:t>
      </w:r>
      <w:r>
        <w:t xml:space="preserve"> </w:t>
      </w:r>
      <w:r>
        <w:rPr>
          <w:vertAlign w:val="superscript"/>
        </w:rPr>
        <w:footnoteReference w:id="25"/>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Core Computation</w:t>
            </w:r>
          </w:p>
        </w:tc>
        <w:tc>
          <w:tcPr/>
          <w:p>
            <w:pPr>
              <w:pStyle w:val="Compact"/>
              <w:jc w:val="left"/>
            </w:pPr>
            <w:r>
              <w:t xml:space="preserve">Latency Requirement</w:t>
            </w:r>
          </w:p>
        </w:tc>
        <w:tc>
          <w:tcPr/>
          <w:p>
            <w:pPr>
              <w:pStyle w:val="Compact"/>
              <w:jc w:val="left"/>
            </w:pPr>
            <w:r>
              <w:t xml:space="preserve">FPGA-Relevant Stage</w:t>
            </w:r>
          </w:p>
        </w:tc>
      </w:tr>
      <w:tr>
        <w:tc>
          <w:tcPr/>
          <w:p>
            <w:pPr>
              <w:pStyle w:val="Compact"/>
              <w:jc w:val="left"/>
            </w:pPr>
            <w:r>
              <w:t xml:space="preserve">Index arbitrage</w:t>
            </w:r>
          </w:p>
        </w:tc>
        <w:tc>
          <w:tcPr/>
          <w:p>
            <w:pPr>
              <w:pStyle w:val="Compact"/>
              <w:jc w:val="left"/>
            </w:pPr>
            <w:r>
              <w:t xml:space="preserve">500× multiply-add for basket NAV; cost-of-carry comparison</w:t>
            </w:r>
          </w:p>
        </w:tc>
        <w:tc>
          <w:tcPr/>
          <w:p>
            <w:pPr>
              <w:pStyle w:val="Compact"/>
              <w:jc w:val="left"/>
            </w:pPr>
            <w:r>
              <w:t xml:space="preserve">&lt;50 µs for NAV; &lt;1 ms round-trip</w:t>
            </w:r>
          </w:p>
        </w:tc>
        <w:tc>
          <w:tcPr/>
          <w:p>
            <w:pPr>
              <w:pStyle w:val="Compact"/>
              <w:jc w:val="left"/>
            </w:pPr>
            <w:r>
              <w:t xml:space="preserve">Feed handler, basket calc, order entry</w:t>
            </w:r>
          </w:p>
        </w:tc>
      </w:tr>
      <w:tr>
        <w:tc>
          <w:tcPr/>
          <w:p>
            <w:pPr>
              <w:pStyle w:val="Compact"/>
              <w:jc w:val="left"/>
            </w:pPr>
            <w:r>
              <w:t xml:space="preserve">ETF creation/redemption arbitrage</w:t>
            </w:r>
          </w:p>
        </w:tc>
        <w:tc>
          <w:tcPr/>
          <w:p>
            <w:pPr>
              <w:pStyle w:val="Compact"/>
              <w:jc w:val="left"/>
            </w:pPr>
            <w:r>
              <w:t xml:space="preserve">NAV vs. ETF price spread; creation unit sizing</w:t>
            </w:r>
          </w:p>
        </w:tc>
        <w:tc>
          <w:tcPr/>
          <w:p>
            <w:pPr>
              <w:pStyle w:val="Compact"/>
              <w:jc w:val="left"/>
            </w:pPr>
            <w:r>
              <w:t xml:space="preserve">&lt;1 ms full cycle</w:t>
            </w:r>
          </w:p>
        </w:tc>
        <w:tc>
          <w:tcPr/>
          <w:p>
            <w:pPr>
              <w:pStyle w:val="Compact"/>
              <w:jc w:val="left"/>
            </w:pPr>
            <w:r>
              <w:t xml:space="preserve">Multi-venue BBO, basket calc, gateway</w:t>
            </w:r>
          </w:p>
        </w:tc>
      </w:tr>
      <w:tr>
        <w:tc>
          <w:tcPr/>
          <w:p>
            <w:pPr>
              <w:pStyle w:val="Compact"/>
              <w:jc w:val="left"/>
            </w:pPr>
            <w:r>
              <w:t xml:space="preserve">Synthetic replication (swaps)</w:t>
            </w:r>
          </w:p>
        </w:tc>
        <w:tc>
          <w:tcPr/>
          <w:p>
            <w:pPr>
              <w:pStyle w:val="Compact"/>
              <w:jc w:val="left"/>
            </w:pPr>
            <w:r>
              <w:t xml:space="preserve">Real-time MTM; hedge ratio on index tick</w:t>
            </w:r>
          </w:p>
        </w:tc>
        <w:tc>
          <w:tcPr/>
          <w:p>
            <w:pPr>
              <w:pStyle w:val="Compact"/>
              <w:jc w:val="left"/>
            </w:pPr>
            <w:r>
              <w:t xml:space="preserve">&lt;10 µs per swap valuation</w:t>
            </w:r>
          </w:p>
        </w:tc>
        <w:tc>
          <w:tcPr/>
          <w:p>
            <w:pPr>
              <w:pStyle w:val="Compact"/>
              <w:jc w:val="left"/>
            </w:pPr>
            <w:r>
              <w:t xml:space="preserve">Tick-to-trade, position tracking</w:t>
            </w:r>
          </w:p>
        </w:tc>
      </w:tr>
      <w:tr>
        <w:tc>
          <w:tcPr/>
          <w:p>
            <w:pPr>
              <w:pStyle w:val="Compact"/>
              <w:jc w:val="left"/>
            </w:pPr>
            <w:r>
              <w:t xml:space="preserve">Futures basis trading</w:t>
            </w:r>
          </w:p>
        </w:tc>
        <w:tc>
          <w:tcPr/>
          <w:p>
            <w:pPr>
              <w:pStyle w:val="Compact"/>
              <w:jc w:val="left"/>
            </w:pPr>
            <w:r>
              <w:t xml:space="preserve">Basis convergence monitoring; dynamic hedge</w:t>
            </w:r>
          </w:p>
        </w:tc>
        <w:tc>
          <w:tcPr/>
          <w:p>
            <w:pPr>
              <w:pStyle w:val="Compact"/>
              <w:jc w:val="left"/>
            </w:pPr>
            <w:r>
              <w:t xml:space="preserve">&lt;100 µs hedge adjustment</w:t>
            </w:r>
          </w:p>
        </w:tc>
        <w:tc>
          <w:tcPr/>
          <w:p>
            <w:pPr>
              <w:pStyle w:val="Compact"/>
              <w:jc w:val="left"/>
            </w:pPr>
            <w:r>
              <w:t xml:space="preserve">Signal generation, order routing</w:t>
            </w:r>
          </w:p>
        </w:tc>
      </w:tr>
    </w:tbl>
    <w:p>
      <w:pPr>
        <w:pStyle w:val="BodyText"/>
      </w:pPr>
      <w:r>
        <w:rPr>
          <w:iCs/>
          <w:i/>
        </w:rPr>
        <w:t xml:space="preserve">Source: Compiled from Finastra Delta One Solutions</w:t>
      </w:r>
      <w:r>
        <w:rPr>
          <w:iCs/>
          <w:i/>
        </w:rPr>
        <w:t xml:space="preserve"> </w:t>
      </w:r>
      <w:fldSimple w:instr="NOTEREF _Ref_Footnote_9 \h \f">
        <w:r>
          <w:rPr>
            <w:vertAlign w:val="superscript"/>
          </w:rPr>
          <w:t>9</w:t>
        </w:r>
      </w:fldSimple>
      <w:r>
        <w:rPr>
          <w:iCs/>
          <w:i/>
        </w:rPr>
        <w:t xml:space="preserve">, ESRB ETF arbitrage analysis</w:t>
      </w:r>
      <w:r>
        <w:rPr>
          <w:iCs/>
          <w:i/>
        </w:rPr>
        <w:t xml:space="preserve"> </w:t>
      </w:r>
      <w:fldSimple w:instr="NOTEREF _Ref_Footnote_15 \h \f">
        <w:r>
          <w:rPr>
            <w:vertAlign w:val="superscript"/>
          </w:rPr>
          <w:t>15</w:t>
        </w:r>
      </w:fldSimple>
      <w:r>
        <w:rPr>
          <w:iCs/>
          <w:i/>
        </w:rPr>
        <w:t xml:space="preserve">, and NYU Stern cost-of-carry model</w:t>
      </w:r>
      <w:r>
        <w:rPr>
          <w:iCs/>
          <w:i/>
        </w:rPr>
        <w:t xml:space="preserve"> </w:t>
      </w:r>
      <w:fldSimple w:instr="NOTEREF _Ref_Footnote_24 \h \f">
        <w:r>
          <w:rPr>
            <w:vertAlign w:val="superscript"/>
          </w:rPr>
          <w:t>24</w:t>
        </w:r>
      </w:fldSimple>
      <w:r>
        <w:rPr>
          <w:iCs/>
          <w:i/>
        </w:rPr>
        <w:t xml:space="preserve">.</w:t>
      </w:r>
    </w:p>
    <w:p>
      <w:pPr>
        <w:pStyle w:val="BodyText"/>
      </w:pPr>
      <w:r>
        <w:t xml:space="preserve">The table above consolidates the computational signatures of the four principal delta-one strategies. Index arbitrage and ETF arbitrage impose the strictest latency requirements because the arbitrage premium is fleeting—competing APs race to capture the same spread, and the first mover captures the full alpha. Every delta-one strategy requires the same pipeline components—market data ingestion, fair-value calculation, spread detection, and order execution—and each stage benefits from deterministic hardware acceleration.</w:t>
      </w:r>
    </w:p>
    <w:bookmarkEnd w:id="38"/>
    <w:bookmarkStart w:id="39" w:name="data-volumes-and-feed-latency"/>
    <w:p>
      <w:pPr>
        <w:pStyle w:val="Heading4"/>
      </w:pPr>
      <w:r>
        <w:t xml:space="preserve">2.1.3 Data Volumes and Feed Latency</w:t>
      </w:r>
    </w:p>
    <w:p>
      <w:pPr>
        <w:pStyle w:val="FirstParagraph"/>
      </w:pPr>
      <w:r>
        <w:t xml:space="preserve">The infrastructure supporting delta-one trading must process message volumes that place extraordinary demands on feed handlers. The Options Price Reporting Authority (OPRA)—which disseminates consolidated options market data and represents over 75% of all U.S. equity market data traffic—sustained peak rates of 44.8 million messages per second in Q3 2024, with microbursts exceeding 187 million messages per second during the April 2025 market sell-off</w:t>
      </w:r>
      <w:r>
        <w:t xml:space="preserve"> </w:t>
      </w:r>
      <w:r>
        <w:rPr>
          <w:vertAlign w:val="superscript"/>
        </w:rPr>
        <w:footnoteReference w:id="26"/>
      </w:r>
      <w:r>
        <w:t xml:space="preserve"> </w:t>
      </w:r>
      <w:r>
        <w:rPr>
          <w:vertAlign w:val="superscript"/>
        </w:rPr>
        <w:footnoteReference w:id="27"/>
      </w:r>
      <w:r>
        <w:t xml:space="preserve"> </w:t>
      </w:r>
      <w:r>
        <w:rPr>
          <w:vertAlign w:val="superscript"/>
        </w:rPr>
        <w:footnoteReference w:id="28"/>
      </w:r>
      <w:r>
        <w:t xml:space="preserve">. At the 99th percentile, OPRA latency stands at 57.5 microseconds following the migration to 96 dissemination lines in February 2024, with median latency near 20 microseconds</w:t>
      </w:r>
      <w:r>
        <w:t xml:space="preserve"> </w:t>
      </w:r>
      <w:fldSimple w:instr="NOTEREF _Ref_Footnote_26 \h \f">
        <w:r>
          <w:rPr>
            <w:vertAlign w:val="superscript"/>
          </w:rPr>
          <w:t>26</w:t>
        </w:r>
      </w:fldSimple>
      <w:r>
        <w:t xml:space="preserve">. Futures market data from CME Group, critical for index arbitrage involving E-mini S&amp;P 500 contracts, exhibits a 90th-percentile cross-connect latency of 42 microseconds to co-located applications</w:t>
      </w:r>
      <w:r>
        <w:t xml:space="preserve"> </w:t>
      </w:r>
      <w:r>
        <w:rPr>
          <w:vertAlign w:val="superscript"/>
        </w:rPr>
        <w:footnoteReference w:id="29"/>
      </w:r>
      <w:r>
        <w:t xml:space="preserve">. The CME’s private fill confirmation feed (MSGW) delivers a median latency advantage of approximately 64 microseconds over public trade summary data—an edge that FPGA-accelerated systems can exploit by processing private fills before public data reaches competitors</w:t>
      </w:r>
      <w:r>
        <w:t xml:space="preserve"> </w:t>
      </w:r>
      <w:r>
        <w:rPr>
          <w:vertAlign w:val="superscript"/>
        </w:rPr>
        <w:footnoteReference w:id="30"/>
      </w:r>
      <w:r>
        <w:t xml:space="preserve">.</w:t>
      </w:r>
    </w:p>
    <w:p>
      <w:pPr>
        <w:pStyle w:val="BodyText"/>
      </w:pPr>
      <w:r>
        <w:t xml:space="preserve">For a delta-one desk arbitraging an S&amp;P 500 ETF, the workload on every tick involves receiving price updates across 500 stocks via dual redundant A/B feeds, recalculating basket NAV, comparing against the ETF price, and generating orders—all while OPRA and CME feeds deliver tens of millions of messages per second. FPGA wire-speed feed processing and parallel arithmetic become prerequisites for profitable participation.</w:t>
      </w:r>
    </w:p>
    <w:bookmarkEnd w:id="39"/>
    <w:bookmarkEnd w:id="40"/>
    <w:bookmarkStart w:id="44" w:name="confirmed-fpga-use-cases"/>
    <w:p>
      <w:pPr>
        <w:pStyle w:val="Heading3"/>
      </w:pPr>
      <w:r>
        <w:t xml:space="preserve">2.2 Confirmed FPGA Use Cases</w:t>
      </w:r>
    </w:p>
    <w:bookmarkStart w:id="41" w:name="etf-market-making-and-parity-enforcement"/>
    <w:p>
      <w:pPr>
        <w:pStyle w:val="Heading4"/>
      </w:pPr>
      <w:r>
        <w:t xml:space="preserve">2.2.1 ETF Market Making and Parity Enforcement</w:t>
      </w:r>
    </w:p>
    <w:p>
      <w:pPr>
        <w:pStyle w:val="FirstParagraph"/>
      </w:pPr>
      <w:r>
        <w:t xml:space="preserve">AMD, the dominant FPGA vendor in financial trading following its 2022 acquisition of Xilinx, explicitly markets its Alveo accelerator cards for</w:t>
      </w:r>
      <w:r>
        <w:t xml:space="preserve"> </w:t>
      </w:r>
      <w:r>
        <w:t xml:space="preserve">“</w:t>
      </w:r>
      <w:r>
        <w:t xml:space="preserve">ensuring parity between exchange-traded fund prices and their underlying assets</w:t>
      </w:r>
      <w:r>
        <w:t xml:space="preserve">”</w:t>
      </w:r>
      <w:r>
        <w:t xml:space="preserve"> </w:t>
      </w:r>
      <w:fldSimple w:instr="NOTEREF _Ref_Footnote_1 \h \f">
        <w:r>
          <w:rPr>
            <w:vertAlign w:val="superscript"/>
          </w:rPr>
          <w:t>1</w:t>
        </w:r>
      </w:fldSimple>
      <w:r>
        <w:t xml:space="preserve">. This positioning is not aspirational marketing: the Alveo UL3524, powered by the Virtex UltraScale+ FPGA, achieved a STAC-T0 world-record actionable latency of 13.9 nanoseconds in June 2024, a 49% improvement over the prior record of 24.2 nanoseconds</w:t>
      </w:r>
      <w:r>
        <w:t xml:space="preserve"> </w:t>
      </w:r>
      <w:fldSimple w:instr="NOTEREF _Ref_Footnote_1 \h \f">
        <w:r>
          <w:rPr>
            <w:vertAlign w:val="superscript"/>
          </w:rPr>
          <w:t>1</w:t>
        </w:r>
      </w:fldSimple>
      <w:r>
        <w:t xml:space="preserve">. The card features 780,000 lookup tables (LUTs) of programmable fabric and 1,680 DSP slices—resources sufficient to house a complete tick-to-trade pipeline including feed parsing, order book maintenance, signal generation, and order formatting on a single device.</w:t>
      </w:r>
    </w:p>
    <w:p>
      <w:pPr>
        <w:pStyle w:val="BodyText"/>
      </w:pPr>
      <w:r>
        <w:t xml:space="preserve">The newer Alveo UL3422, introduced in late 2024, delivers equivalent performance in a half-height form factor, with PMA transmit-plus-receive response times under 2.5 nanoseconds</w:t>
      </w:r>
      <w:r>
        <w:t xml:space="preserve"> </w:t>
      </w:r>
      <w:fldSimple w:instr="NOTEREF _Ref_Footnote_1 \h \f">
        <w:r>
          <w:rPr>
            <w:vertAlign w:val="superscript"/>
          </w:rPr>
          <w:t>1</w:t>
        </w:r>
      </w:fldSimple>
      <w:r>
        <w:t xml:space="preserve">. For ETF market makers, the interval between receiving a price update on the underlying basket and emitting a revised quote can be reduced to sub-100 nanoseconds—an order of magnitude faster than software-based competitors operating at 10–50 microseconds.</w:t>
      </w:r>
    </w:p>
    <w:bookmarkEnd w:id="41"/>
    <w:bookmarkStart w:id="42" w:name="Xb0172c96bd5d8ddb951c0bed096c098dca4b6a9"/>
    <w:p>
      <w:pPr>
        <w:pStyle w:val="Heading4"/>
      </w:pPr>
      <w:r>
        <w:t xml:space="preserve">2.2.2 Index Arbitrage: Multi-Venue BBO Consolidation</w:t>
      </w:r>
    </w:p>
    <w:p>
      <w:pPr>
        <w:pStyle w:val="FirstParagraph"/>
      </w:pPr>
      <w:r>
        <w:t xml:space="preserve">Index arbitrage demands simultaneous visibility into the best bid and offer (BBO) across all venues where the underlying constituents trade. NovaSparks (now part of Exegy following a January 2026 acquisition) developed the first entirely FPGA-based order book consolidator, which updates BBO information in user applications in under 500 nanoseconds when a new top-of-book price emerges at any exchange</w:t>
      </w:r>
      <w:r>
        <w:t xml:space="preserve"> </w:t>
      </w:r>
      <w:fldSimple w:instr="NOTEREF _Ref_Footnote_1 \h \f">
        <w:r>
          <w:rPr>
            <w:vertAlign w:val="superscript"/>
          </w:rPr>
          <w:t>1</w:t>
        </w:r>
      </w:fldSimple>
      <w:r>
        <w:t xml:space="preserve">. The system builds composite order books across multiple venues in under 500 nanoseconds—a latency regime that enables arbitrageurs to detect and act on inter-venue price dislocations before they propagate through slower software-based consolidation systems.</w:t>
      </w:r>
    </w:p>
    <w:p>
      <w:pPr>
        <w:pStyle w:val="BodyText"/>
      </w:pPr>
      <w:r>
        <w:t xml:space="preserve">The Exegy nxFeed product processes raw market data from over 70 exchange feeds with average latency below 1.2 microseconds and maximum latency under 8 microseconds even during market microbursts</w:t>
      </w:r>
      <w:r>
        <w:t xml:space="preserve"> </w:t>
      </w:r>
      <w:fldSimple w:instr="NOTEREF _Ref_Footnote_1 \h \f">
        <w:r>
          <w:rPr>
            <w:vertAlign w:val="superscript"/>
          </w:rPr>
          <w:t>1</w:t>
        </w:r>
      </w:fldSimple>
      <w:r>
        <w:t xml:space="preserve">. For delta-one strategies requiring accurate BBO across 12–16 U.S. equity venues, FPGA-based consolidation eliminates the tail-risk jitter inherent in CPU-based systems, where OS scheduling introduces 10–100 microseconds of variability.</w:t>
      </w:r>
    </w:p>
    <w:bookmarkEnd w:id="42"/>
    <w:bookmarkStart w:id="43" w:name="basket-and-nav-calculation"/>
    <w:p>
      <w:pPr>
        <w:pStyle w:val="Heading4"/>
      </w:pPr>
      <w:r>
        <w:t xml:space="preserve">2.2.3 Basket and NAV Calculation</w:t>
      </w:r>
    </w:p>
    <w:p>
      <w:pPr>
        <w:pStyle w:val="FirstParagraph"/>
      </w:pPr>
      <w:r>
        <w:t xml:space="preserve">The most direct computational mapping of FPGA parallelism onto delta-one workloads occurs in basket NAV calculation. An S&amp;P 500 NAV computation is structurally a dot product: 500 parallel multiplications (weight</w:t>
      </w:r>
      <m:oMath>
        <m:sSub>
          <m:e>
            <m:r>
              <m:t>​</m:t>
            </m:r>
          </m:e>
          <m:sub>
            <m:r>
              <m:t>i</m:t>
            </m:r>
          </m:sub>
        </m:sSub>
      </m:oMath>
      <w:r>
        <w:t xml:space="preserve"> </w:t>
      </w:r>
      <w:r>
        <w:t xml:space="preserve">× price</w:t>
      </w:r>
      <m:oMath>
        <m:sSub>
          <m:e>
            <m:r>
              <m:t>​</m:t>
            </m:r>
          </m:e>
          <m:sub>
            <m:r>
              <m:t>i</m:t>
            </m:r>
          </m:sub>
        </m:sSub>
      </m:oMath>
      <w:r>
        <w:t xml:space="preserve">) followed by a reduction tree summing the partial products. On a CPU, even with SIMD vectorization, this sequence executes in 50–200 microseconds due to memory bandwidth constraints, cache hierarchy traversal, and sequential instruction dispatch. An FPGA can instantiate 500 dedicated multiply-accumulate (MAC) units in hardware, each operating on its own data stream, with a reduction tree that collapses the partial sums to a final NAV value in under 1 microsecond</w:t>
      </w:r>
      <w:r>
        <w:t xml:space="preserve"> </w:t>
      </w:r>
      <w:fldSimple w:instr="NOTEREF _Ref_Footnote_3 \h \f">
        <w:r>
          <w:rPr>
            <w:vertAlign w:val="superscript"/>
          </w:rPr>
          <w:t>3</w:t>
        </w:r>
      </w:fldSimple>
      <w:r>
        <w:t xml:space="preserve">.</w:t>
      </w:r>
    </w:p>
    <w:p>
      <w:pPr>
        <w:pStyle w:val="BodyText"/>
      </w:pPr>
      <w:r>
        <w:t xml:space="preserve">Academic research from the University of Heidelberg demonstrated FPGA-based basket calculation pipelines achieving sub-microsecond latency for 100-constituent baskets, with linear scaling to larger universes through additional DSP slice utilization</w:t>
      </w:r>
      <w:r>
        <w:t xml:space="preserve"> </w:t>
      </w:r>
      <w:fldSimple w:instr="NOTEREF _Ref_Footnote_3 \h \f">
        <w:r>
          <w:rPr>
            <w:vertAlign w:val="superscript"/>
          </w:rPr>
          <w:t>3</w:t>
        </w:r>
      </w:fldSimple>
      <w:r>
        <w:t xml:space="preserve">. For an ETF arbitrageur, the difference between a 100-microsecond CPU NAV and a 1-microsecond FPGA NAV represents 99 microseconds of competitive advantage—sufficient to capture dislocations that exist for only milliseconds.</w:t>
      </w:r>
    </w:p>
    <w:bookmarkEnd w:id="43"/>
    <w:bookmarkEnd w:id="44"/>
    <w:bookmarkStart w:id="50" w:name="performance-evidence"/>
    <w:p>
      <w:pPr>
        <w:pStyle w:val="Heading3"/>
      </w:pPr>
      <w:r>
        <w:t xml:space="preserve">2.3 Performance Evidence</w:t>
      </w:r>
    </w:p>
    <w:bookmarkStart w:id="45" w:name="X477ac1aa57121d467f64603efe20dfeab2b0ca1"/>
    <w:p>
      <w:pPr>
        <w:pStyle w:val="Heading4"/>
      </w:pPr>
      <w:r>
        <w:t xml:space="preserve">2.3.1 FAST Protocol Decoding: Quantified Acceleration</w:t>
      </w:r>
    </w:p>
    <w:p>
      <w:pPr>
        <w:pStyle w:val="FirstParagraph"/>
      </w:pPr>
      <w:r>
        <w:t xml:space="preserve">The FIX Adapted for Streaming (FAST) protocol presents a decoding workload that is data-dependent and branch-intensive—characteristics that stress CPU pipelines but map efficiently onto FPGA state machines. Research by Leber, Geib, and Litz at the University of Heidelberg quantified the advantage: software FAST decoding incurred 12.8 microseconds, while the FPGA implementation completed in 2.6 microseconds—a 4× reduction</w:t>
      </w:r>
      <w:r>
        <w:t xml:space="preserve"> </w:t>
      </w:r>
      <w:fldSimple w:instr="NOTEREF _Ref_Footnote_3 \h \f">
        <w:r>
          <w:rPr>
            <w:vertAlign w:val="superscript"/>
          </w:rPr>
          <w:t>3</w:t>
        </w:r>
      </w:fldSimple>
      <w:r>
        <w:t xml:space="preserve">. With the full UDP/IP/FAST stack in hardware, latency fell to 2.0 microseconds, and round-trip execution times showed reductions exceeding 70%</w:t>
      </w:r>
      <w:r>
        <w:t xml:space="preserve"> </w:t>
      </w:r>
      <w:fldSimple w:instr="NOTEREF _Ref_Footnote_3 \h \f">
        <w:r>
          <w:rPr>
            <w:vertAlign w:val="superscript"/>
          </w:rPr>
          <w:t>3</w:t>
        </w:r>
      </w:fldSimple>
      <w:r>
        <w:t xml:space="preserve">. Industry deployments corroborate these findings: Exegy’s nxFeed delivers the sub-1.2-microsecond average latency cited above even when OPRA bursts to 187 million messages per second</w:t>
      </w:r>
      <w:r>
        <w:t xml:space="preserve"> </w:t>
      </w:r>
      <w:fldSimple w:instr="NOTEREF _Ref_Footnote_1 \h \f">
        <w:r>
          <w:rPr>
            <w:vertAlign w:val="superscript"/>
          </w:rPr>
          <w:t>1</w:t>
        </w:r>
      </w:fldSimple>
      <w:r>
        <w:t xml:space="preserve">.</w:t>
      </w:r>
    </w:p>
    <w:bookmarkEnd w:id="45"/>
    <w:bookmarkStart w:id="49" w:name="full-tick-to-trade-pipeline-in-hardware"/>
    <w:p>
      <w:pPr>
        <w:pStyle w:val="Heading4"/>
      </w:pPr>
      <w:r>
        <w:t xml:space="preserve">2.3.2 Full Tick-to-Trade Pipeline in Hardware</w:t>
      </w:r>
    </w:p>
    <w:p>
      <w:pPr>
        <w:pStyle w:val="FirstParagraph"/>
      </w:pPr>
      <w:r>
        <w:t xml:space="preserve">The ultimate expression of FPGA capability in delta-one trading is the complete tick-to-trade pipeline implemented entirely in hardware. In this architecture, every stage from network I/O through order submission executes on the FPGA without software intervention.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Pipeline Component</w:t>
            </w:r>
          </w:p>
        </w:tc>
        <w:tc>
          <w:tcPr/>
          <w:p>
            <w:pPr>
              <w:pStyle w:val="Compact"/>
              <w:jc w:val="left"/>
            </w:pPr>
            <w:r>
              <w:t xml:space="preserve">CPU Latency</w:t>
            </w:r>
          </w:p>
        </w:tc>
        <w:tc>
          <w:tcPr/>
          <w:p>
            <w:pPr>
              <w:pStyle w:val="Compact"/>
              <w:jc w:val="left"/>
            </w:pPr>
            <w:r>
              <w:t xml:space="preserve">FPGA Latency</w:t>
            </w:r>
          </w:p>
        </w:tc>
        <w:tc>
          <w:tcPr/>
          <w:p>
            <w:pPr>
              <w:pStyle w:val="Compact"/>
              <w:jc w:val="left"/>
            </w:pPr>
            <w:r>
              <w:t xml:space="preserve">Speedup Factor</w:t>
            </w:r>
          </w:p>
        </w:tc>
        <w:tc>
          <w:tcPr/>
          <w:p>
            <w:pPr>
              <w:pStyle w:val="Compact"/>
              <w:jc w:val="left"/>
            </w:pPr>
            <w:r>
              <w:t xml:space="preserve">Source</w:t>
            </w:r>
          </w:p>
        </w:tc>
      </w:tr>
      <w:tr>
        <w:tc>
          <w:tcPr/>
          <w:p>
            <w:pPr>
              <w:pStyle w:val="Compact"/>
              <w:jc w:val="left"/>
            </w:pPr>
            <w:r>
              <w:t xml:space="preserve">FIX message parsing</w:t>
            </w:r>
          </w:p>
        </w:tc>
        <w:tc>
          <w:tcPr/>
          <w:p>
            <w:pPr>
              <w:pStyle w:val="Compact"/>
              <w:jc w:val="left"/>
            </w:pPr>
            <w:r>
              <w:t xml:space="preserve">10 µs</w:t>
            </w:r>
            <w:r>
              <w:t xml:space="preserve"> </w:t>
            </w:r>
            <w:fldSimple w:instr="NOTEREF _Ref_Footnote_21 \h \f">
              <w:r>
                <w:rPr>
                  <w:vertAlign w:val="superscript"/>
                </w:rPr>
                <w:t>21</w:t>
              </w:r>
            </w:fldSimple>
          </w:p>
        </w:tc>
        <w:tc>
          <w:tcPr/>
          <w:p>
            <w:pPr>
              <w:pStyle w:val="Compact"/>
              <w:jc w:val="left"/>
            </w:pPr>
            <w:r>
              <w:t xml:space="preserve">14 ns</w:t>
            </w:r>
            <w:r>
              <w:t xml:space="preserve"> </w:t>
            </w:r>
            <w:fldSimple w:instr="NOTEREF _Ref_Footnote_21 \h \f">
              <w:r>
                <w:rPr>
                  <w:vertAlign w:val="superscript"/>
                </w:rPr>
                <w:t>21</w:t>
              </w:r>
            </w:fldSimple>
          </w:p>
        </w:tc>
        <w:tc>
          <w:tcPr/>
          <w:p>
            <w:pPr>
              <w:pStyle w:val="Compact"/>
              <w:jc w:val="left"/>
            </w:pPr>
            <w:r>
              <w:t xml:space="preserve">714×</w:t>
            </w:r>
          </w:p>
        </w:tc>
        <w:tc>
          <w:tcPr/>
          <w:p>
            <w:pPr>
              <w:pStyle w:val="Compact"/>
              <w:jc w:val="left"/>
            </w:pPr>
            <w:r>
              <w:t xml:space="preserve">QuantumEdge benchmarks</w:t>
            </w:r>
          </w:p>
        </w:tc>
      </w:tr>
      <w:tr>
        <w:tc>
          <w:tcPr/>
          <w:p>
            <w:pPr>
              <w:pStyle w:val="Compact"/>
              <w:jc w:val="left"/>
            </w:pPr>
            <w:r>
              <w:t xml:space="preserve">Order book update</w:t>
            </w:r>
          </w:p>
        </w:tc>
        <w:tc>
          <w:tcPr/>
          <w:p>
            <w:pPr>
              <w:pStyle w:val="Compact"/>
              <w:jc w:val="left"/>
            </w:pPr>
            <w:r>
              <w:t xml:space="preserve">50 µs</w:t>
            </w:r>
            <w:r>
              <w:t xml:space="preserve"> </w:t>
            </w:r>
            <w:fldSimple w:instr="NOTEREF _Ref_Footnote_21 \h \f">
              <w:r>
                <w:rPr>
                  <w:vertAlign w:val="superscript"/>
                </w:rPr>
                <w:t>21</w:t>
              </w:r>
            </w:fldSimple>
          </w:p>
        </w:tc>
        <w:tc>
          <w:tcPr/>
          <w:p>
            <w:pPr>
              <w:pStyle w:val="Compact"/>
              <w:jc w:val="left"/>
            </w:pPr>
            <w:r>
              <w:t xml:space="preserve">4 ns</w:t>
            </w:r>
            <w:r>
              <w:t xml:space="preserve"> </w:t>
            </w:r>
            <w:fldSimple w:instr="NOTEREF _Ref_Footnote_21 \h \f">
              <w:r>
                <w:rPr>
                  <w:vertAlign w:val="superscript"/>
                </w:rPr>
                <w:t>21</w:t>
              </w:r>
            </w:fldSimple>
          </w:p>
        </w:tc>
        <w:tc>
          <w:tcPr/>
          <w:p>
            <w:pPr>
              <w:pStyle w:val="Compact"/>
              <w:jc w:val="left"/>
            </w:pPr>
            <w:r>
              <w:t xml:space="preserve">12{,}500×</w:t>
            </w:r>
          </w:p>
        </w:tc>
        <w:tc>
          <w:tcPr/>
          <w:p>
            <w:pPr>
              <w:pStyle w:val="Compact"/>
              <w:jc w:val="left"/>
            </w:pPr>
            <w:r>
              <w:t xml:space="preserve">FPGA BRAM vs. RAM</w:t>
            </w:r>
          </w:p>
        </w:tc>
      </w:tr>
      <w:tr>
        <w:tc>
          <w:tcPr/>
          <w:p>
            <w:pPr>
              <w:pStyle w:val="Compact"/>
              <w:jc w:val="left"/>
            </w:pPr>
            <w:r>
              <w:t xml:space="preserve">FAST feed handler</w:t>
            </w:r>
          </w:p>
        </w:tc>
        <w:tc>
          <w:tcPr/>
          <w:p>
            <w:pPr>
              <w:pStyle w:val="Compact"/>
              <w:jc w:val="left"/>
            </w:pPr>
            <w:r>
              <w:t xml:space="preserve">12.8 µs</w:t>
            </w:r>
            <w:r>
              <w:t xml:space="preserve"> </w:t>
            </w:r>
            <w:fldSimple w:instr="NOTEREF _Ref_Footnote_3 \h \f">
              <w:r>
                <w:rPr>
                  <w:vertAlign w:val="superscript"/>
                </w:rPr>
                <w:t>3</w:t>
              </w:r>
            </w:fldSimple>
          </w:p>
        </w:tc>
        <w:tc>
          <w:tcPr/>
          <w:p>
            <w:pPr>
              <w:pStyle w:val="Compact"/>
              <w:jc w:val="left"/>
            </w:pPr>
            <w:r>
              <w:t xml:space="preserve">2.6 µs</w:t>
            </w:r>
            <w:r>
              <w:t xml:space="preserve"> </w:t>
            </w:r>
            <w:fldSimple w:instr="NOTEREF _Ref_Footnote_3 \h \f">
              <w:r>
                <w:rPr>
                  <w:vertAlign w:val="superscript"/>
                </w:rPr>
                <w:t>3</w:t>
              </w:r>
            </w:fldSimple>
          </w:p>
        </w:tc>
        <w:tc>
          <w:tcPr/>
          <w:p>
            <w:pPr>
              <w:pStyle w:val="Compact"/>
              <w:jc w:val="left"/>
            </w:pPr>
            <w:r>
              <w:t xml:space="preserve">5×</w:t>
            </w:r>
          </w:p>
        </w:tc>
        <w:tc>
          <w:tcPr/>
          <w:p>
            <w:pPr>
              <w:pStyle w:val="Compact"/>
              <w:jc w:val="left"/>
            </w:pPr>
            <w:r>
              <w:t xml:space="preserve">Heidelberg research</w:t>
            </w:r>
          </w:p>
        </w:tc>
      </w:tr>
      <w:tr>
        <w:tc>
          <w:tcPr/>
          <w:p>
            <w:pPr>
              <w:pStyle w:val="Compact"/>
              <w:jc w:val="left"/>
            </w:pPr>
            <w:r>
              <w:t xml:space="preserve">Tick-to-trade (round-trip)</w:t>
            </w:r>
          </w:p>
        </w:tc>
        <w:tc>
          <w:tcPr/>
          <w:p>
            <w:pPr>
              <w:pStyle w:val="Compact"/>
              <w:jc w:val="left"/>
            </w:pPr>
            <w:r>
              <w:t xml:space="preserve">200 µs</w:t>
            </w:r>
            <w:r>
              <w:t xml:space="preserve"> </w:t>
            </w:r>
            <w:fldSimple w:instr="NOTEREF _Ref_Footnote_21 \h \f">
              <w:r>
                <w:rPr>
                  <w:vertAlign w:val="superscript"/>
                </w:rPr>
                <w:t>21</w:t>
              </w:r>
            </w:fldSimple>
          </w:p>
        </w:tc>
        <w:tc>
          <w:tcPr/>
          <w:p>
            <w:pPr>
              <w:pStyle w:val="Compact"/>
              <w:jc w:val="left"/>
            </w:pPr>
            <w:r>
              <w:t xml:space="preserve">150–300 ns</w:t>
            </w:r>
            <w:r>
              <w:t xml:space="preserve"> </w:t>
            </w:r>
            <w:fldSimple w:instr="NOTEREF _Ref_Footnote_21 \h \f">
              <w:r>
                <w:rPr>
                  <w:vertAlign w:val="superscript"/>
                </w:rPr>
                <w:t>21</w:t>
              </w:r>
            </w:fldSimple>
          </w:p>
        </w:tc>
        <w:tc>
          <w:tcPr/>
          <w:p>
            <w:pPr>
              <w:pStyle w:val="Compact"/>
              <w:jc w:val="left"/>
            </w:pPr>
            <w:r>
              <w:t xml:space="preserve">667–1{,}333×</w:t>
            </w:r>
          </w:p>
        </w:tc>
        <w:tc>
          <w:tcPr/>
          <w:p>
            <w:pPr>
              <w:pStyle w:val="Compact"/>
              <w:jc w:val="left"/>
            </w:pPr>
            <w:r>
              <w:t xml:space="preserve">Full hardware pipeline</w:t>
            </w:r>
          </w:p>
        </w:tc>
      </w:tr>
      <w:tr>
        <w:tc>
          <w:tcPr/>
          <w:p>
            <w:pPr>
              <w:pStyle w:val="Compact"/>
              <w:jc w:val="left"/>
            </w:pPr>
            <w:r>
              <w:t xml:space="preserve">Queue operations</w:t>
            </w:r>
          </w:p>
        </w:tc>
        <w:tc>
          <w:tcPr/>
          <w:p>
            <w:pPr>
              <w:pStyle w:val="Compact"/>
              <w:jc w:val="left"/>
            </w:pPr>
            <w:r>
              <w:t xml:space="preserve">5 µs</w:t>
            </w:r>
            <w:r>
              <w:t xml:space="preserve"> </w:t>
            </w:r>
            <w:fldSimple w:instr="NOTEREF _Ref_Footnote_21 \h \f">
              <w:r>
                <w:rPr>
                  <w:vertAlign w:val="superscript"/>
                </w:rPr>
                <w:t>21</w:t>
              </w:r>
            </w:fldSimple>
          </w:p>
        </w:tc>
        <w:tc>
          <w:tcPr/>
          <w:p>
            <w:pPr>
              <w:pStyle w:val="Compact"/>
              <w:jc w:val="left"/>
            </w:pPr>
            <w:r>
              <w:t xml:space="preserve">50 ns</w:t>
            </w:r>
            <w:r>
              <w:t xml:space="preserve"> </w:t>
            </w:r>
            <w:fldSimple w:instr="NOTEREF _Ref_Footnote_21 \h \f">
              <w:r>
                <w:rPr>
                  <w:vertAlign w:val="superscript"/>
                </w:rPr>
                <w:t>21</w:t>
              </w:r>
            </w:fldSimple>
          </w:p>
        </w:tc>
        <w:tc>
          <w:tcPr/>
          <w:p>
            <w:pPr>
              <w:pStyle w:val="Compact"/>
              <w:jc w:val="left"/>
            </w:pPr>
            <w:r>
              <w:t xml:space="preserve">100×</w:t>
            </w:r>
          </w:p>
        </w:tc>
        <w:tc>
          <w:tcPr/>
          <w:p>
            <w:pPr>
              <w:pStyle w:val="Compact"/>
              <w:jc w:val="left"/>
            </w:pPr>
            <w:r>
              <w:t xml:space="preserve">Lock-free hardware</w:t>
            </w:r>
          </w:p>
        </w:tc>
      </w:tr>
      <w:tr>
        <w:tc>
          <w:tcPr/>
          <w:p>
            <w:pPr>
              <w:pStyle w:val="Compact"/>
              <w:jc w:val="left"/>
            </w:pPr>
            <w:r>
              <w:t xml:space="preserve">NAV calculation (500 stocks)</w:t>
            </w:r>
          </w:p>
        </w:tc>
        <w:tc>
          <w:tcPr/>
          <w:p>
            <w:pPr>
              <w:pStyle w:val="Compact"/>
              <w:jc w:val="left"/>
            </w:pPr>
            <w:r>
              <w:t xml:space="preserve">50–200 µs (est.)</w:t>
            </w:r>
          </w:p>
        </w:tc>
        <w:tc>
          <w:tcPr/>
          <w:p>
            <w:pPr>
              <w:pStyle w:val="Compact"/>
              <w:jc w:val="left"/>
            </w:pPr>
            <w:r>
              <w:t xml:space="preserve">&lt;1 µs</w:t>
            </w:r>
          </w:p>
        </w:tc>
        <w:tc>
          <w:tcPr/>
          <w:p>
            <w:pPr>
              <w:pStyle w:val="Compact"/>
              <w:jc w:val="left"/>
            </w:pPr>
            <w:r>
              <w:t xml:space="preserve">50–200×</w:t>
            </w:r>
          </w:p>
        </w:tc>
        <w:tc>
          <w:tcPr/>
          <w:p>
            <w:pPr>
              <w:pStyle w:val="Compact"/>
              <w:jc w:val="left"/>
            </w:pPr>
            <w:r>
              <w:t xml:space="preserve">Parallel MAC array</w:t>
            </w:r>
          </w:p>
        </w:tc>
      </w:tr>
    </w:tbl>
    <w:p>
      <w:pPr>
        <w:pStyle w:val="BodyText"/>
      </w:pPr>
      <w:r>
        <w:rPr>
          <w:iCs/>
          <w:i/>
        </w:rPr>
        <w:t xml:space="preserve">Note: CPU latencies represent optimized software with kernel bypass (e.g., DPDK, Solarflare Onload). Unoptimized software can be 5–10× slower. FPGA figures reflect best-in-class implementations.</w:t>
      </w:r>
    </w:p>
    <w:p>
      <w:pPr>
        <w:pStyle w:val="BodyText"/>
      </w:pPr>
      <w:r>
        <w:t xml:space="preserve">The performance benchmarks in the table above demonstrate that FPGA acceleration is not uniform across all pipeline stages. The most dramatic gains—three to four orders of magnitude—occur in order book updates and FIX parsing, where FPGA BRAM (Block RAM) enables single-clock-cycle memory access and dedicated hardware state machines eliminate instruction-fetch overhead. More modest but still decisive improvements of 5× appear in FAST feed handling, where the protocol’s sequential decoding constraints limit parallelism. The round-trip tick-to-trade figure of 150–300 nanoseconds encompasses the complete sequence: network reception (~10 ns), kernel bypass processing (~15 ns), FPGA parsing (~25 ns), order book update (~35 ns), signal generation (~45 ns), risk management (~20 ns), order gateway formatting (~50 ns), and network transmission back to the exchange (~100 ns)</w:t>
      </w:r>
      <w:r>
        <w:t xml:space="preserve"> </w:t>
      </w:r>
      <w:fldSimple w:instr="NOTEREF _Ref_Footnote_22 \h \f">
        <w:r>
          <w:rPr>
            <w:vertAlign w:val="superscript"/>
          </w:rPr>
          <w:t>22</w:t>
        </w:r>
      </w:fldSimple>
      <w:r>
        <w:t xml:space="preserve">.</w:t>
      </w:r>
    </w:p>
    <w:p>
      <w:pPr>
        <w:pStyle w:val="CaptionedFigure"/>
      </w:pPr>
      <w:r>
        <w:drawing>
          <wp:inline>
            <wp:extent cx="5334000" cy="3075317"/>
            <wp:effectExtent b="0" l="0" r="0" t="0"/>
            <wp:docPr descr="Figure 2.1: FPGA vs. CPU Latency Comparison — Delta-One Trading Pipeline Components" title="" id="47" name="Picture"/>
            <a:graphic>
              <a:graphicData uri="http://schemas.openxmlformats.org/drawingml/2006/picture">
                <pic:pic>
                  <pic:nvPicPr>
                    <pic:cNvPr descr="fig_2_1_latency_comparison.png" id="48" name="Picture"/>
                    <pic:cNvPicPr>
                      <a:picLocks noChangeArrowheads="1" noChangeAspect="1"/>
                    </pic:cNvPicPr>
                  </pic:nvPicPr>
                  <pic:blipFill>
                    <a:blip r:embed="rId46"/>
                    <a:stretch>
                      <a:fillRect/>
                    </a:stretch>
                  </pic:blipFill>
                  <pic:spPr bwMode="auto">
                    <a:xfrm>
                      <a:off x="0" y="0"/>
                      <a:ext cx="5334000" cy="3075317"/>
                    </a:xfrm>
                    <a:prstGeom prst="rect">
                      <a:avLst/>
                    </a:prstGeom>
                    <a:noFill/>
                    <a:ln w="9525">
                      <a:noFill/>
                      <a:headEnd/>
                      <a:tailEnd/>
                    </a:ln>
                  </pic:spPr>
                </pic:pic>
              </a:graphicData>
            </a:graphic>
          </wp:inline>
        </w:drawing>
      </w:r>
    </w:p>
    <w:p>
      <w:pPr>
        <w:pStyle w:val="ImageCaption"/>
      </w:pPr>
      <w:r>
        <w:t xml:space="preserve">Figure 2.1: FPGA vs. CPU Latency Comparison — Delta-One Trading Pipeline Components</w:t>
      </w:r>
    </w:p>
    <w:p>
      <w:pPr>
        <w:pStyle w:val="BodyText"/>
      </w:pPr>
      <w:r>
        <w:rPr>
          <w:iCs/>
          <w:i/>
        </w:rPr>
        <w:t xml:space="preserve">Figure 2.1 visualizes the latency differential across six pipeline components on a log-scale y-axis spanning four orders of magnitude. Speedup factors range from 5× (FAST feed handling, where protocol sequentiality constrains parallelism) to 12,500× (order book updates, where FPGA BRAM replaces mutex-locked RAM). The FPGA advantage is multiplicative across stages, compounding to round-trip advantages of 500× to 1,300×.</w:t>
      </w:r>
    </w:p>
    <w:p>
      <w:pPr>
        <w:pStyle w:val="BodyText"/>
      </w:pPr>
      <w:r>
        <w:t xml:space="preserve">The multiplicative nature of these gains is critical for delta-one desks: a 5× improvement at the feed handler combined with a 100× improvement at queue operations and a 200× improvement at NAV calculation compounds rather than adds. An FPGA-based desk can complete five to ten arbitrage cycles in the time a software competitor completes one.</w:t>
      </w:r>
    </w:p>
    <w:bookmarkEnd w:id="49"/>
    <w:bookmarkEnd w:id="50"/>
    <w:bookmarkStart w:id="53" w:name="roi-assessment"/>
    <w:p>
      <w:pPr>
        <w:pStyle w:val="Heading3"/>
      </w:pPr>
      <w:r>
        <w:t xml:space="preserve">2.4 ROI Assessment</w:t>
      </w:r>
    </w:p>
    <w:bookmarkStart w:id="51" w:name="X38eed9c2e71fbebc0293e86262da65bfb86bb6a"/>
    <w:p>
      <w:pPr>
        <w:pStyle w:val="Heading4"/>
      </w:pPr>
      <w:r>
        <w:t xml:space="preserve">2.4.1 The Latency-Arbitrage Profit Relationship</w:t>
      </w:r>
    </w:p>
    <w:p>
      <w:pPr>
        <w:pStyle w:val="FirstParagraph"/>
      </w:pPr>
      <w:r>
        <w:t xml:space="preserve">Delta-one arbitrage profits are directly and monotonically dependent on latency. When an ETF trades at a premium to its NAV, the premium exists only until competing arbitrageurs submit creation orders that narrow the spread. In a market with 25–35 authorized participants per ETF</w:t>
      </w:r>
      <w:r>
        <w:t xml:space="preserve"> </w:t>
      </w:r>
      <w:fldSimple w:instr="NOTEREF _Ref_Footnote_15 \h \f">
        <w:r>
          <w:rPr>
            <w:vertAlign w:val="superscript"/>
          </w:rPr>
          <w:t>15</w:t>
        </w:r>
      </w:fldSimple>
      <w:r>
        <w:t xml:space="preserve">, the firm that detects the premium first and submits the creation basket earliest captures the full arbitrage value; late entrants receive partially filled orders or no fill at all. The same dynamic governs index arbitrage: the futures-spot basis converges rapidly, and the arbitrageur who calculates the mispricing first locks in the riskless profit while competitors are still computing.</w:t>
      </w:r>
    </w:p>
    <w:p>
      <w:pPr>
        <w:pStyle w:val="BodyText"/>
      </w:pPr>
      <w:r>
        <w:t xml:space="preserve">Empirical evidence from the ETF market supports this relationship. During periods of elevated volatility—when the VIX exceeds 30—the average ETF premium/discount widens to 30–80 basis points for equity ETFs and 100–300 basis points for fixed-income ETFs</w:t>
      </w:r>
      <w:r>
        <w:t xml:space="preserve"> </w:t>
      </w:r>
      <w:fldSimple w:instr="NOTEREF _Ref_Footnote_15 \h \f">
        <w:r>
          <w:rPr>
            <w:vertAlign w:val="superscript"/>
          </w:rPr>
          <w:t>15</w:t>
        </w:r>
      </w:fldSimple>
      <w:r>
        <w:t xml:space="preserve">. At these levels, a single successful arbitrage cycle on a creation unit of 50,000 shares of a broad equity ETF can generate $1,500–$4,000 in gross profit. A desk equipped with FPGA-based sub-microsecond tick-to-trade can execute 20–50 such cycles per hour during volatile sessions, while a software-based desk operating at 200-microsecond round-trip latency might capture 2–5 cycles in the same period. The latency advantage thus translates directly into a 5× to 10× multiplier on arbitrage throughput and profitability.</w:t>
      </w:r>
    </w:p>
    <w:bookmarkEnd w:id="51"/>
    <w:bookmarkStart w:id="52" w:name="cost-structure-and-payback-analysis"/>
    <w:p>
      <w:pPr>
        <w:pStyle w:val="Heading4"/>
      </w:pPr>
      <w:r>
        <w:t xml:space="preserve">2.4.2 Cost Structure and Payback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 Benefit Item</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Cs/>
                <w:b/>
              </w:rPr>
              <w:t xml:space="preserve">Capital Expenditure</w:t>
            </w:r>
          </w:p>
        </w:tc>
        <w:tc>
          <w:tcPr/>
          <w:p>
            <w:pPr>
              <w:pStyle w:val="Compact"/>
            </w:pPr>
          </w:p>
        </w:tc>
        <w:tc>
          <w:tcPr/>
          <w:p>
            <w:pPr>
              <w:pStyle w:val="Compact"/>
            </w:pPr>
          </w:p>
        </w:tc>
      </w:tr>
      <w:tr>
        <w:tc>
          <w:tcPr/>
          <w:p>
            <w:pPr>
              <w:pStyle w:val="Compact"/>
              <w:jc w:val="left"/>
            </w:pPr>
            <w:r>
              <w:t xml:space="preserve">FPGA accelerator card (AMD Alveo UL3524/UL3422)</w:t>
            </w:r>
          </w:p>
        </w:tc>
        <w:tc>
          <w:tcPr/>
          <w:p>
            <w:pPr>
              <w:pStyle w:val="Compact"/>
              <w:jc w:val="left"/>
            </w:pPr>
            <w:r>
              <w:t xml:space="preserve">$5{,}000–$15{,}000 per card</w:t>
            </w:r>
            <w:r>
              <w:t xml:space="preserve"> </w:t>
            </w:r>
            <w:fldSimple w:instr="NOTEREF _Ref_Footnote_1 \h \f">
              <w:r>
                <w:rPr>
                  <w:vertAlign w:val="superscript"/>
                </w:rPr>
                <w:t>1</w:t>
              </w:r>
            </w:fldSimple>
          </w:p>
        </w:tc>
        <w:tc>
          <w:tcPr/>
          <w:p>
            <w:pPr>
              <w:pStyle w:val="Compact"/>
              <w:jc w:val="left"/>
            </w:pPr>
            <w:r>
              <w:t xml:space="preserve">Single card can host full tick-to-trade pipeline</w:t>
            </w:r>
          </w:p>
        </w:tc>
      </w:tr>
      <w:tr>
        <w:tc>
          <w:tcPr/>
          <w:p>
            <w:pPr>
              <w:pStyle w:val="Compact"/>
              <w:jc w:val="left"/>
            </w:pPr>
            <w:r>
              <w:t xml:space="preserve">Server chassis and NICs</w:t>
            </w:r>
          </w:p>
        </w:tc>
        <w:tc>
          <w:tcPr/>
          <w:p>
            <w:pPr>
              <w:pStyle w:val="Compact"/>
              <w:jc w:val="left"/>
            </w:pPr>
            <w:r>
              <w:t xml:space="preserve">$10{,}000–$20{,}000</w:t>
            </w:r>
          </w:p>
        </w:tc>
        <w:tc>
          <w:tcPr/>
          <w:p>
            <w:pPr>
              <w:pStyle w:val="Compact"/>
              <w:jc w:val="left"/>
            </w:pPr>
            <w:r>
              <w:t xml:space="preserve">Standard 1U/2U server with dual 25GbE</w:t>
            </w:r>
          </w:p>
        </w:tc>
      </w:tr>
      <w:tr>
        <w:tc>
          <w:tcPr/>
          <w:p>
            <w:pPr>
              <w:pStyle w:val="Compact"/>
              <w:jc w:val="left"/>
            </w:pPr>
            <w:r>
              <w:t xml:space="preserve">Co-location at primary exchange</w:t>
            </w:r>
          </w:p>
        </w:tc>
        <w:tc>
          <w:tcPr/>
          <w:p>
            <w:pPr>
              <w:pStyle w:val="Compact"/>
              <w:jc w:val="left"/>
            </w:pPr>
            <w:r>
              <w:t xml:space="preserve">$5{,}000–$15{,}000/month</w:t>
            </w:r>
          </w:p>
        </w:tc>
        <w:tc>
          <w:tcPr/>
          <w:p>
            <w:pPr>
              <w:pStyle w:val="Compact"/>
              <w:jc w:val="left"/>
            </w:pPr>
            <w:r>
              <w:t xml:space="preserve">CME, NYSE, Nasdaq co-lo fees</w:t>
            </w:r>
          </w:p>
        </w:tc>
      </w:tr>
      <w:tr>
        <w:tc>
          <w:tcPr/>
          <w:p>
            <w:pPr>
              <w:pStyle w:val="Compact"/>
              <w:jc w:val="left"/>
            </w:pPr>
            <w:r>
              <w:t xml:space="preserve">Cross-connects (A/B redundant feeds)</w:t>
            </w:r>
          </w:p>
        </w:tc>
        <w:tc>
          <w:tcPr/>
          <w:p>
            <w:pPr>
              <w:pStyle w:val="Compact"/>
              <w:jc w:val="left"/>
            </w:pPr>
            <w:r>
              <w:t xml:space="preserve">$2{,}000–$5{,}000/month per venue</w:t>
            </w:r>
          </w:p>
        </w:tc>
        <w:tc>
          <w:tcPr/>
          <w:p>
            <w:pPr>
              <w:pStyle w:val="Compact"/>
              <w:jc w:val="left"/>
            </w:pPr>
            <w:r>
              <w:t xml:space="preserve">Dual 40Gbps minimum for OPRA</w:t>
            </w:r>
          </w:p>
        </w:tc>
      </w:tr>
      <w:tr>
        <w:tc>
          <w:tcPr/>
          <w:p>
            <w:pPr>
              <w:pStyle w:val="Compact"/>
              <w:jc w:val="left"/>
            </w:pPr>
            <w:r>
              <w:rPr>
                <w:bCs/>
                <w:b/>
              </w:rPr>
              <w:t xml:space="preserve">Personnel</w:t>
            </w:r>
          </w:p>
        </w:tc>
        <w:tc>
          <w:tcPr/>
          <w:p>
            <w:pPr>
              <w:pStyle w:val="Compact"/>
            </w:pPr>
          </w:p>
        </w:tc>
        <w:tc>
          <w:tcPr/>
          <w:p>
            <w:pPr>
              <w:pStyle w:val="Compact"/>
            </w:pPr>
          </w:p>
        </w:tc>
      </w:tr>
      <w:tr>
        <w:tc>
          <w:tcPr/>
          <w:p>
            <w:pPr>
              <w:pStyle w:val="Compact"/>
              <w:jc w:val="left"/>
            </w:pPr>
            <w:r>
              <w:t xml:space="preserve">FPGA engineer (SystemVerilog/VHDL)</w:t>
            </w:r>
          </w:p>
        </w:tc>
        <w:tc>
          <w:tcPr/>
          <w:p>
            <w:pPr>
              <w:pStyle w:val="Compact"/>
              <w:jc w:val="left"/>
            </w:pPr>
            <w:r>
              <w:t xml:space="preserve">$300{,}000–$500{,}000/year all-in</w:t>
            </w:r>
          </w:p>
        </w:tc>
        <w:tc>
          <w:tcPr/>
          <w:p>
            <w:pPr>
              <w:pStyle w:val="Compact"/>
              <w:jc w:val="left"/>
            </w:pPr>
            <w:r>
              <w:t xml:space="preserve">Top-tier HFT compensation</w:t>
            </w:r>
          </w:p>
        </w:tc>
      </w:tr>
      <w:tr>
        <w:tc>
          <w:tcPr/>
          <w:p>
            <w:pPr>
              <w:pStyle w:val="Compact"/>
              <w:jc w:val="left"/>
            </w:pPr>
            <w:r>
              <w:rPr>
                <w:bCs/>
                <w:b/>
              </w:rPr>
              <w:t xml:space="preserve">Alpha Potential (Annual)</w:t>
            </w:r>
          </w:p>
        </w:tc>
        <w:tc>
          <w:tcPr/>
          <w:p>
            <w:pPr>
              <w:pStyle w:val="Compact"/>
            </w:pPr>
          </w:p>
        </w:tc>
        <w:tc>
          <w:tcPr/>
          <w:p>
            <w:pPr>
              <w:pStyle w:val="Compact"/>
            </w:pPr>
          </w:p>
        </w:tc>
      </w:tr>
      <w:tr>
        <w:tc>
          <w:tcPr/>
          <w:p>
            <w:pPr>
              <w:pStyle w:val="Compact"/>
              <w:jc w:val="left"/>
            </w:pPr>
            <w:r>
              <w:t xml:space="preserve">ETF arbitrage (single product, moderate volatility)</w:t>
            </w:r>
          </w:p>
        </w:tc>
        <w:tc>
          <w:tcPr/>
          <w:p>
            <w:pPr>
              <w:pStyle w:val="Compact"/>
              <w:jc w:val="left"/>
            </w:pPr>
            <w:r>
              <w:t xml:space="preserve">$500{,}000–$2{,}000{,}000</w:t>
            </w:r>
          </w:p>
        </w:tc>
        <w:tc>
          <w:tcPr/>
          <w:p>
            <w:pPr>
              <w:pStyle w:val="Compact"/>
              <w:jc w:val="left"/>
            </w:pPr>
            <w:r>
              <w:t xml:space="preserve">20–50 cycles/hour during vol periods</w:t>
            </w:r>
          </w:p>
        </w:tc>
      </w:tr>
      <w:tr>
        <w:tc>
          <w:tcPr/>
          <w:p>
            <w:pPr>
              <w:pStyle w:val="Compact"/>
              <w:jc w:val="left"/>
            </w:pPr>
            <w:r>
              <w:t xml:space="preserve">Index arbitrage (multi-venue, S&amp;P 500 universe)</w:t>
            </w:r>
          </w:p>
        </w:tc>
        <w:tc>
          <w:tcPr/>
          <w:p>
            <w:pPr>
              <w:pStyle w:val="Compact"/>
              <w:jc w:val="left"/>
            </w:pPr>
            <w:r>
              <w:t xml:space="preserve">$1{,}000{,}000–$5{,}000{,}000</w:t>
            </w:r>
          </w:p>
        </w:tc>
        <w:tc>
          <w:tcPr/>
          <w:p>
            <w:pPr>
              <w:pStyle w:val="Compact"/>
              <w:jc w:val="left"/>
            </w:pPr>
            <w:r>
              <w:t xml:space="preserve">Basis capture on futures + cash</w:t>
            </w:r>
          </w:p>
        </w:tc>
      </w:tr>
      <w:tr>
        <w:tc>
          <w:tcPr/>
          <w:p>
            <w:pPr>
              <w:pStyle w:val="Compact"/>
              <w:jc w:val="left"/>
            </w:pPr>
            <w:r>
              <w:t xml:space="preserve">Synthetic replication hedge optimization</w:t>
            </w:r>
          </w:p>
        </w:tc>
        <w:tc>
          <w:tcPr/>
          <w:p>
            <w:pPr>
              <w:pStyle w:val="Compact"/>
              <w:jc w:val="left"/>
            </w:pPr>
            <w:r>
              <w:t xml:space="preserve">$300{,}000–$1{,}000{,}000</w:t>
            </w:r>
          </w:p>
        </w:tc>
        <w:tc>
          <w:tcPr/>
          <w:p>
            <w:pPr>
              <w:pStyle w:val="Compact"/>
              <w:jc w:val="left"/>
            </w:pPr>
            <w:r>
              <w:t xml:space="preserve">Reduced slippage on hedge rebalancing</w:t>
            </w:r>
          </w:p>
        </w:tc>
      </w:tr>
      <w:tr>
        <w:tc>
          <w:tcPr/>
          <w:p>
            <w:pPr>
              <w:pStyle w:val="Compact"/>
              <w:jc w:val="left"/>
            </w:pPr>
            <w:r>
              <w:rPr>
                <w:bCs/>
                <w:b/>
              </w:rPr>
              <w:t xml:space="preserve">Payback Period</w:t>
            </w:r>
          </w:p>
        </w:tc>
        <w:tc>
          <w:tcPr/>
          <w:p>
            <w:pPr>
              <w:pStyle w:val="Compact"/>
            </w:pPr>
          </w:p>
        </w:tc>
        <w:tc>
          <w:tcPr/>
          <w:p>
            <w:pPr>
              <w:pStyle w:val="Compact"/>
            </w:pPr>
          </w:p>
        </w:tc>
      </w:tr>
      <w:tr>
        <w:tc>
          <w:tcPr/>
          <w:p>
            <w:pPr>
              <w:pStyle w:val="Compact"/>
              <w:jc w:val="left"/>
            </w:pPr>
            <w:r>
              <w:t xml:space="preserve">Conservative scenario (low vol, single strategy)</w:t>
            </w:r>
          </w:p>
        </w:tc>
        <w:tc>
          <w:tcPr/>
          <w:p>
            <w:pPr>
              <w:pStyle w:val="Compact"/>
              <w:jc w:val="left"/>
            </w:pPr>
            <w:r>
              <w:t xml:space="preserve">8–12 months</w:t>
            </w:r>
          </w:p>
        </w:tc>
        <w:tc>
          <w:tcPr/>
          <w:p>
            <w:pPr>
              <w:pStyle w:val="Compact"/>
              <w:jc w:val="left"/>
            </w:pPr>
            <w:r>
              <w:t xml:space="preserve">$500K alpha vs. $400K–$600K fully loaded cost</w:t>
            </w:r>
          </w:p>
        </w:tc>
      </w:tr>
      <w:tr>
        <w:tc>
          <w:tcPr/>
          <w:p>
            <w:pPr>
              <w:pStyle w:val="Compact"/>
              <w:jc w:val="left"/>
            </w:pPr>
            <w:r>
              <w:t xml:space="preserve">Moderate scenario (multi-strategy, normal vol)</w:t>
            </w:r>
          </w:p>
        </w:tc>
        <w:tc>
          <w:tcPr/>
          <w:p>
            <w:pPr>
              <w:pStyle w:val="Compact"/>
              <w:jc w:val="left"/>
            </w:pPr>
            <w:r>
              <w:t xml:space="preserve">3–6 months</w:t>
            </w:r>
          </w:p>
        </w:tc>
        <w:tc>
          <w:tcPr/>
          <w:p>
            <w:pPr>
              <w:pStyle w:val="Compact"/>
              <w:jc w:val="left"/>
            </w:pPr>
            <w:r>
              <w:t xml:space="preserve">$2M–$3M alpha vs. $800K–$1M fully loaded cost</w:t>
            </w:r>
          </w:p>
        </w:tc>
      </w:tr>
      <w:tr>
        <w:tc>
          <w:tcPr/>
          <w:p>
            <w:pPr>
              <w:pStyle w:val="Compact"/>
              <w:jc w:val="left"/>
            </w:pPr>
            <w:r>
              <w:t xml:space="preserve">Aggressive scenario (elevated vol, multi-venue)</w:t>
            </w:r>
          </w:p>
        </w:tc>
        <w:tc>
          <w:tcPr/>
          <w:p>
            <w:pPr>
              <w:pStyle w:val="Compact"/>
              <w:jc w:val="left"/>
            </w:pPr>
            <w:r>
              <w:t xml:space="preserve">&lt;3 months</w:t>
            </w:r>
          </w:p>
        </w:tc>
        <w:tc>
          <w:tcPr/>
          <w:p>
            <w:pPr>
              <w:pStyle w:val="Compact"/>
              <w:jc w:val="left"/>
            </w:pPr>
            <w:r>
              <w:t xml:space="preserve">$5M+ alpha vs. $1M–$1.2M fully loaded cost</w:t>
            </w:r>
          </w:p>
        </w:tc>
      </w:tr>
    </w:tbl>
    <w:p>
      <w:pPr>
        <w:pStyle w:val="BodyText"/>
      </w:pPr>
      <w:r>
        <w:rPr>
          <w:iCs/>
          <w:i/>
        </w:rPr>
        <w:t xml:space="preserve">Source: Hardware costs from AMD Alveo pricing and vendor documentation</w:t>
      </w:r>
      <w:r>
        <w:rPr>
          <w:iCs/>
          <w:i/>
        </w:rPr>
        <w:t xml:space="preserve"> </w:t>
      </w:r>
      <w:fldSimple w:instr="NOTEREF _Ref_Footnote_1 \h \f">
        <w:r>
          <w:rPr>
            <w:vertAlign w:val="superscript"/>
          </w:rPr>
          <w:t>1</w:t>
        </w:r>
      </w:fldSimple>
      <w:r>
        <w:rPr>
          <w:iCs/>
          <w:i/>
        </w:rPr>
        <w:t xml:space="preserve">; alpha estimates derived from ETF premium/discount data</w:t>
      </w:r>
      <w:r>
        <w:rPr>
          <w:iCs/>
          <w:i/>
        </w:rPr>
        <w:t xml:space="preserve"> </w:t>
      </w:r>
      <w:fldSimple w:instr="NOTEREF _Ref_Footnote_15 \h \f">
        <w:r>
          <w:rPr>
            <w:vertAlign w:val="superscript"/>
          </w:rPr>
          <w:t>15</w:t>
        </w:r>
      </w:fldSimple>
      <w:r>
        <w:rPr>
          <w:iCs/>
          <w:i/>
        </w:rPr>
        <w:t xml:space="preserve">and arbitrage throughput modeling. Co-location and cross-connect pricing reflects publicly available exchange fee schedules.</w:t>
      </w:r>
    </w:p>
    <w:p>
      <w:pPr>
        <w:pStyle w:val="BodyText"/>
      </w:pPr>
      <w:r>
        <w:t xml:space="preserve">The ROI assessment table presents a capital-allocation framework for delta-one trading heads evaluating FPGA deployment. Hardware capex is modest—$5,000 to $15,000 per accelerator card, a fraction of a single trader’s annual compensation. Fully loaded with server infrastructure, co-location, and a senior FPGA engineer, first-year operating cost rarely exceeds $1.2 million. Against this base, a single index arbitrage strategy across S&amp;P 500 futures and cash can generate $1 million to $5 million annually. The payback period is typically under six months for active desks</w:t>
      </w:r>
      <w:r>
        <w:t xml:space="preserve"> </w:t>
      </w:r>
      <w:fldSimple w:instr="NOTEREF _Ref_Footnote_1 \h \f">
        <w:r>
          <w:rPr>
            <w:vertAlign w:val="superscript"/>
          </w:rPr>
          <w:t>1</w:t>
        </w:r>
      </w:fldSimple>
      <w:r>
        <w:t xml:space="preserve">, extending to 8–12 months only in conservative scenarios with persistently low volatility. The risk profile is asymmetric: maximum loss is bounded by fixed costs, while upside scales with volatility and arbitrage opportunity frequency.</w:t>
      </w:r>
    </w:p>
    <w:p>
      <w:pPr>
        <w:pStyle w:val="BodyText"/>
      </w:pPr>
      <w:r>
        <w:t xml:space="preserve">The calculus becomes more compelling when considering that FPGA-based systems exhibit near-zero latency jitter</w:t>
      </w:r>
      <w:r>
        <w:t xml:space="preserve"> </w:t>
      </w:r>
      <w:fldSimple w:instr="NOTEREF _Ref_Footnote_22 \h \f">
        <w:r>
          <w:rPr>
            <w:vertAlign w:val="superscript"/>
          </w:rPr>
          <w:t>22</w:t>
        </w:r>
      </w:fldSimple>
      <w:r>
        <w:t xml:space="preserve"> </w:t>
      </w:r>
      <w:r>
        <w:rPr>
          <w:vertAlign w:val="superscript"/>
        </w:rPr>
        <w:footnoteReference w:id="31"/>
      </w:r>
      <w:r>
        <w:t xml:space="preserve">. CPU-based systems suffer 10–100 microseconds of round-trip variability from OS scheduling, cache misses, and garbage collection—variability that causes missed execution windows before the 95th-percentile latency completes. FPGA determinism eliminates this tail risk, ensuring every arbitrage signal is acted upon at the same hardware-limited speed. For delta-one desks, this determinism is a risk-control feature: it guarantees that pipeline latency budgets are never exceeded, even under the most extreme market data bursts.</w:t>
      </w:r>
    </w:p>
    <w:p>
      <w:r>
        <w:pict>
          <v:rect style="width:0;height:1.5pt" o:hralign="center" o:hrstd="t" o:hr="t"/>
        </w:pict>
      </w:r>
    </w:p>
    <w:bookmarkEnd w:id="52"/>
    <w:bookmarkEnd w:id="53"/>
    <w:bookmarkEnd w:id="54"/>
    <w:bookmarkStart w:id="63" w:name="Xe7a751f279fc10759e83858b76459bd2fea2dae"/>
    <w:p>
      <w:pPr>
        <w:pStyle w:val="Heading2"/>
      </w:pPr>
      <w:r>
        <w:t xml:space="preserve">3. FPGA in Stock Loan and Securities Lending</w:t>
      </w:r>
    </w:p>
    <w:p>
      <w:pPr>
        <w:pStyle w:val="FirstParagraph"/>
      </w:pPr>
      <w:r>
        <w:t xml:space="preserve">Where Chapter 2 documented FPGA as a mature, latency-proven technology in delta-one execution, the securities lending market presents a starkly different picture. Extensive research across vendor disclosures, STAC benchmark records, and industry literature reveals</w:t>
      </w:r>
      <w:r>
        <w:t xml:space="preserve"> </w:t>
      </w:r>
      <w:r>
        <w:rPr>
          <w:bCs/>
          <w:b/>
        </w:rPr>
        <w:t xml:space="preserve">no direct FPGA deployments in securities lending platforms</w:t>
      </w:r>
      <w:r>
        <w:t xml:space="preserve"> </w:t>
      </w:r>
      <w:r>
        <w:t xml:space="preserve">– a software-dominated domain where workflow automation, regulatory compliance, and counterparty relationships take precedence over microsecond optimization</w:t>
      </w:r>
      <w:r>
        <w:t xml:space="preserve"> </w:t>
      </w:r>
      <w:fldSimple w:instr="NOTEREF _Ref_Footnote_10 \h \f">
        <w:r>
          <w:rPr>
            <w:vertAlign w:val="superscript"/>
          </w:rPr>
          <w:t>10</w:t>
        </w:r>
      </w:fldSimple>
      <w:r>
        <w:t xml:space="preserve"> </w:t>
      </w:r>
      <w:fldSimple w:instr="NOTEREF _Ref_Footnote_6 \h \f">
        <w:r>
          <w:rPr>
            <w:vertAlign w:val="superscript"/>
          </w:rPr>
          <w:t>6</w:t>
        </w:r>
      </w:fldSimple>
      <w:r>
        <w:t xml:space="preserve"> </w:t>
      </w:r>
      <w:fldSimple w:instr="NOTEREF _Ref_Footnote_4 \h \f">
        <w:r>
          <w:rPr>
            <w:vertAlign w:val="superscript"/>
          </w:rPr>
          <w:t>4</w:t>
        </w:r>
      </w:fldSimple>
      <w:r>
        <w:t xml:space="preserve">. This chapter maps the market structure, quantifies the technology gap, and identifies three specific greenfield opportunities where hardware acceleration could deliver measurable value.</w:t>
      </w:r>
    </w:p>
    <w:bookmarkStart w:id="58" w:name="securities-lending-market-structure"/>
    <w:p>
      <w:pPr>
        <w:pStyle w:val="Heading3"/>
      </w:pPr>
      <w:r>
        <w:t xml:space="preserve">3.1 Securities Lending Market Structure</w:t>
      </w:r>
    </w:p>
    <w:bookmarkStart w:id="55" w:name="market-scale-and-participants"/>
    <w:p>
      <w:pPr>
        <w:pStyle w:val="Heading4"/>
      </w:pPr>
      <w:r>
        <w:t xml:space="preserve">3.1.1 Market Scale and Participants</w:t>
      </w:r>
    </w:p>
    <w:p>
      <w:pPr>
        <w:pStyle w:val="FirstParagraph"/>
      </w:pPr>
      <w:r>
        <w:t xml:space="preserve">Global securities lending is a multi-trillion-dollar market facilitating short selling, collateral management, and financing activities. DataLend, the industry’s primary data aggregator, reports approximately</w:t>
      </w:r>
      <w:r>
        <w:t xml:space="preserve"> </w:t>
      </w:r>
      <w:r>
        <w:rPr>
          <w:bCs/>
          <w:b/>
        </w:rPr>
        <w:t xml:space="preserve">$2.6 trillion in securities on loan</w:t>
      </w:r>
      <w:r>
        <w:t xml:space="preserve"> </w:t>
      </w:r>
      <w:r>
        <w:t xml:space="preserve">globally against</w:t>
      </w:r>
      <w:r>
        <w:t xml:space="preserve"> </w:t>
      </w:r>
      <w:r>
        <w:rPr>
          <w:bCs/>
          <w:b/>
        </w:rPr>
        <w:t xml:space="preserve">$30.3 trillion in lendable inventory</w:t>
      </w:r>
      <w:r>
        <w:t xml:space="preserve"> </w:t>
      </w:r>
      <w:fldSimple w:instr="NOTEREF _Ref_Footnote_4 \h \f">
        <w:r>
          <w:rPr>
            <w:vertAlign w:val="superscript"/>
          </w:rPr>
          <w:t>4</w:t>
        </w:r>
      </w:fldSimple>
      <w:r>
        <w:t xml:space="preserve">. This represents a utilization rate of roughly 8.6%, meaning the vast majority of potentially lendable securities remain idle at any given time – a structural inefficiency that technology vendors have attempted to address through electronic matching and real-time inventory visibility.</w:t>
      </w:r>
    </w:p>
    <w:p>
      <w:pPr>
        <w:pStyle w:val="BodyText"/>
      </w:pPr>
      <w:r>
        <w:t xml:space="preserve">The market operates through a multi-tiered ecosystem of participants with distinct economic incentives. Beneficial owners – pension funds, insurers, mutual funds, and sovereign wealth vehicles – hold the underlying securities and generate incremental revenue by lending idle inventory</w:t>
      </w:r>
      <w:r>
        <w:t xml:space="preserve"> </w:t>
      </w:r>
      <w:fldSimple w:instr="NOTEREF _Ref_Footnote_4 \h \f">
        <w:r>
          <w:rPr>
            <w:vertAlign w:val="superscript"/>
          </w:rPr>
          <w:t>4</w:t>
        </w:r>
      </w:fldSimple>
      <w:r>
        <w:t xml:space="preserve">. Agent lenders (primarily large custodian banks such as BNY Mellon, State Street, and JPMorgan) intermediate between beneficial owners and borrowers, negotiating fee splits and managing operational complexity. Prime brokers provide the critical financing link to hedge funds and proprietary trading firms that require borrow to execute short-biased strategies. Broker-dealers complete the network by facilitating trades across fragmented liquidity pools. The interplay between these participants determines available inventory, pricing, and the speed at which securities can be sourced – factors that have driven increasing investment in electronic trading infrastructure over the past decade.</w:t>
      </w:r>
    </w:p>
    <w:bookmarkEnd w:id="55"/>
    <w:bookmarkStart w:id="56" w:name="electronic-trading-platforms"/>
    <w:p>
      <w:pPr>
        <w:pStyle w:val="Heading4"/>
      </w:pPr>
      <w:r>
        <w:t xml:space="preserve">3.1.2 Electronic Trading Platforms</w:t>
      </w:r>
    </w:p>
    <w:p>
      <w:pPr>
        <w:pStyle w:val="FirstParagraph"/>
      </w:pPr>
      <w:r>
        <w:t xml:space="preserve">Two platforms dominate electronic securities lending: EquiLend’s Next Generation Trading (NGT) and Wematch’s SM@RT matching engine. Their operational scale illustrates the market’s electronic evolution while underscoring the software-native architecture of the entire space.</w:t>
      </w:r>
    </w:p>
    <w:tbl>
      <w:tblPr>
        <w:tblStyle w:val="Table"/>
        <w:tblW w:type="pct" w:w="5000"/>
        <w:tblLook w:firstRow="1" w:lastRow="0" w:firstColumn="0" w:lastColumn="0" w:noHBand="0" w:noVBand="0" w:val="0020"/>
      </w:tblPr>
      <w:tblGrid>
        <w:gridCol w:w="1200"/>
        <w:gridCol w:w="960"/>
        <w:gridCol w:w="1560"/>
        <w:gridCol w:w="1200"/>
        <w:gridCol w:w="1680"/>
        <w:gridCol w:w="1320"/>
      </w:tblGrid>
      <w:tr>
        <w:trPr>
          <w:tblHeader w:val="true"/>
        </w:trPr>
        <w:tc>
          <w:tcPr/>
          <w:p>
            <w:pPr>
              <w:pStyle w:val="Compact"/>
              <w:jc w:val="left"/>
            </w:pPr>
            <w:r>
              <w:t xml:space="preserve">Platform</w:t>
            </w:r>
          </w:p>
        </w:tc>
        <w:tc>
          <w:tcPr/>
          <w:p>
            <w:pPr>
              <w:pStyle w:val="Compact"/>
              <w:jc w:val="left"/>
            </w:pPr>
            <w:r>
              <w:t xml:space="preserve">Vendor</w:t>
            </w:r>
          </w:p>
        </w:tc>
        <w:tc>
          <w:tcPr/>
          <w:p>
            <w:pPr>
              <w:pStyle w:val="Compact"/>
              <w:jc w:val="left"/>
            </w:pPr>
            <w:r>
              <w:t xml:space="preserve">Daily Volume</w:t>
            </w:r>
          </w:p>
        </w:tc>
        <w:tc>
          <w:tcPr/>
          <w:p>
            <w:pPr>
              <w:pStyle w:val="Compact"/>
              <w:jc w:val="left"/>
            </w:pPr>
            <w:r>
              <w:t xml:space="preserve">Capacity</w:t>
            </w:r>
          </w:p>
        </w:tc>
        <w:tc>
          <w:tcPr/>
          <w:p>
            <w:pPr>
              <w:pStyle w:val="Compact"/>
              <w:jc w:val="left"/>
            </w:pPr>
            <w:r>
              <w:t xml:space="preserve">Architecture</w:t>
            </w:r>
          </w:p>
        </w:tc>
        <w:tc>
          <w:tcPr/>
          <w:p>
            <w:pPr>
              <w:pStyle w:val="Compact"/>
              <w:jc w:val="left"/>
            </w:pPr>
            <w:r>
              <w:t xml:space="preserve">User Base</w:t>
            </w:r>
          </w:p>
        </w:tc>
      </w:tr>
      <w:tr>
        <w:tc>
          <w:tcPr/>
          <w:p>
            <w:pPr>
              <w:pStyle w:val="Compact"/>
              <w:jc w:val="left"/>
            </w:pPr>
            <w:r>
              <w:t xml:space="preserve">NGT</w:t>
            </w:r>
          </w:p>
        </w:tc>
        <w:tc>
          <w:tcPr/>
          <w:p>
            <w:pPr>
              <w:pStyle w:val="Compact"/>
              <w:jc w:val="left"/>
            </w:pPr>
            <w:r>
              <w:t xml:space="preserve">EquiLend</w:t>
            </w:r>
          </w:p>
        </w:tc>
        <w:tc>
          <w:tcPr/>
          <w:p>
            <w:pPr>
              <w:pStyle w:val="Compact"/>
              <w:jc w:val="left"/>
            </w:pPr>
            <w:r>
              <w:t xml:space="preserve">50,000+ trades/day; $80B+ notional</w:t>
            </w:r>
            <w:r>
              <w:t xml:space="preserve"> </w:t>
            </w:r>
            <w:fldSimple w:instr="NOTEREF _Ref_Footnote_5 \h \f">
              <w:r>
                <w:rPr>
                  <w:vertAlign w:val="superscript"/>
                </w:rPr>
                <w:t>5</w:t>
              </w:r>
            </w:fldSimple>
          </w:p>
        </w:tc>
        <w:tc>
          <w:tcPr/>
          <w:p>
            <w:pPr>
              <w:pStyle w:val="Compact"/>
              <w:jc w:val="left"/>
            </w:pPr>
            <w:r>
              <w:t xml:space="preserve">Algorithmic matching; AI-powered trading</w:t>
            </w:r>
            <w:r>
              <w:t xml:space="preserve"> </w:t>
            </w:r>
            <w:r>
              <w:rPr>
                <w:vertAlign w:val="superscript"/>
              </w:rPr>
              <w:footnoteReference w:id="32"/>
            </w:r>
          </w:p>
        </w:tc>
        <w:tc>
          <w:tcPr/>
          <w:p>
            <w:pPr>
              <w:pStyle w:val="Compact"/>
              <w:jc w:val="left"/>
            </w:pPr>
            <w:r>
              <w:t xml:space="preserve">Software/API-based</w:t>
            </w:r>
          </w:p>
        </w:tc>
        <w:tc>
          <w:tcPr/>
          <w:p>
            <w:pPr>
              <w:pStyle w:val="Compact"/>
              <w:jc w:val="left"/>
            </w:pPr>
            <w:r>
              <w:t xml:space="preserve">100+ firms in 30+ cities</w:t>
            </w:r>
          </w:p>
        </w:tc>
      </w:tr>
      <w:tr>
        <w:tc>
          <w:tcPr/>
          <w:p>
            <w:pPr>
              <w:pStyle w:val="Compact"/>
              <w:jc w:val="left"/>
            </w:pPr>
            <w:r>
              <w:t xml:space="preserve">SM@RT</w:t>
            </w:r>
          </w:p>
        </w:tc>
        <w:tc>
          <w:tcPr/>
          <w:p>
            <w:pPr>
              <w:pStyle w:val="Compact"/>
              <w:jc w:val="left"/>
            </w:pPr>
            <w:r>
              <w:t xml:space="preserve">Wematch</w:t>
            </w:r>
          </w:p>
        </w:tc>
        <w:tc>
          <w:tcPr/>
          <w:p>
            <w:pPr>
              <w:pStyle w:val="Compact"/>
              <w:jc w:val="left"/>
            </w:pPr>
            <w:r>
              <w:t xml:space="preserve">$2T annually processed (FY2023)</w:t>
            </w:r>
            <w:r>
              <w:t xml:space="preserve"> </w:t>
            </w:r>
            <w:fldSimple w:instr="NOTEREF _Ref_Footnote_2 \h \f">
              <w:r>
                <w:rPr>
                  <w:vertAlign w:val="superscript"/>
                </w:rPr>
                <w:t>2</w:t>
              </w:r>
            </w:fldSimple>
          </w:p>
        </w:tc>
        <w:tc>
          <w:tcPr/>
          <w:p>
            <w:pPr>
              <w:pStyle w:val="Compact"/>
              <w:jc w:val="left"/>
            </w:pPr>
            <w:r>
              <w:t xml:space="preserve">6,000 trades/minute; 10M simultaneous interests</w:t>
            </w:r>
            <w:r>
              <w:t xml:space="preserve"> </w:t>
            </w:r>
            <w:fldSimple w:instr="NOTEREF _Ref_Footnote_2 \h \f">
              <w:r>
                <w:rPr>
                  <w:vertAlign w:val="superscript"/>
                </w:rPr>
                <w:t>2</w:t>
              </w:r>
            </w:fldSimple>
          </w:p>
        </w:tc>
        <w:tc>
          <w:tcPr/>
          <w:p>
            <w:pPr>
              <w:pStyle w:val="Compact"/>
              <w:jc w:val="left"/>
            </w:pPr>
            <w:r>
              <w:t xml:space="preserve">Cloud-based serverless</w:t>
            </w:r>
          </w:p>
        </w:tc>
        <w:tc>
          <w:tcPr/>
          <w:p>
            <w:pPr>
              <w:pStyle w:val="Compact"/>
              <w:jc w:val="left"/>
            </w:pPr>
            <w:r>
              <w:t xml:space="preserve">85+ institutions in 10+ countries</w:t>
            </w:r>
          </w:p>
        </w:tc>
      </w:tr>
    </w:tbl>
    <w:p>
      <w:pPr>
        <w:pStyle w:val="BodyText"/>
      </w:pPr>
      <w:r>
        <w:t xml:space="preserve">EquiLend NGT processes over 50,000 trades per day with an average daily transaction notional exceeding $80 billion, serving more than 100 active user firms across 30 cities globally</w:t>
      </w:r>
      <w:r>
        <w:t xml:space="preserve"> </w:t>
      </w:r>
      <w:fldSimple w:instr="NOTEREF _Ref_Footnote_5 \h \f">
        <w:r>
          <w:rPr>
            <w:vertAlign w:val="superscript"/>
          </w:rPr>
          <w:t>5</w:t>
        </w:r>
      </w:fldSimple>
      <w:r>
        <w:t xml:space="preserve">. The platform added algorithmic trading capabilities powered by artificial intelligence in recent years and reported a 95% volume increase in Japan fixed income trading during 2024</w:t>
      </w:r>
      <w:r>
        <w:t xml:space="preserve"> </w:t>
      </w:r>
      <w:fldSimple w:instr="NOTEREF _Ref_Footnote_32 \h \f">
        <w:r>
          <w:rPr>
            <w:vertAlign w:val="superscript"/>
          </w:rPr>
          <w:t>32</w:t>
        </w:r>
      </w:fldSimple>
      <w:r>
        <w:t xml:space="preserve">. Wematch’s SM@RT platform, built on a cloud-based serverless architecture, manages 10 million simultaneous interests in live data with a peak processing capacity of 6,000 trades per minute, routing approximately $2 trillion in annual transaction volume across 85 institutions in more than 10 countries</w:t>
      </w:r>
      <w:r>
        <w:t xml:space="preserve"> </w:t>
      </w:r>
      <w:fldSimple w:instr="NOTEREF _Ref_Footnote_2 \h \f">
        <w:r>
          <w:rPr>
            <w:vertAlign w:val="superscript"/>
          </w:rPr>
          <w:t>2</w:t>
        </w:r>
      </w:fldSimple>
      <w:r>
        <w:t xml:space="preserve">.</w:t>
      </w:r>
    </w:p>
    <w:p>
      <w:pPr>
        <w:pStyle w:val="BodyText"/>
      </w:pPr>
      <w:r>
        <w:t xml:space="preserve">Notably absent from both platforms – and from the entire securities lending technology stack – is any mention of FPGA or hardware acceleration. NGT’s latency-sensitive matching logic and Wematch’s high-throughput interest processing both run on conventional software infrastructure, a deliberate design choice reflecting the market’s operational priorities.</w:t>
      </w:r>
    </w:p>
    <w:bookmarkEnd w:id="56"/>
    <w:bookmarkStart w:id="57" w:name="X7fce5bf3de2c0ddbf691af243fd457fd3fd3873"/>
    <w:p>
      <w:pPr>
        <w:pStyle w:val="Heading4"/>
      </w:pPr>
      <w:r>
        <w:t xml:space="preserve">3.1.3 Rate Categories and Economic Significance</w:t>
      </w:r>
    </w:p>
    <w:p>
      <w:pPr>
        <w:pStyle w:val="FirstParagraph"/>
      </w:pPr>
      <w:r>
        <w:t xml:space="preserve">Securities lending fees vary by orders of magnitude depending on supply and demand dynamics, creating direct economic consequences for the speed and accuracy of rate determination. The market conventionally classifies securities into three rate tiers</w:t>
      </w:r>
      <w:r>
        <w:t xml:space="preserve"> </w:t>
      </w:r>
      <w:fldSimple w:instr="NOTEREF _Ref_Footnote_4 \h \f">
        <w:r>
          <w:rPr>
            <w:vertAlign w:val="superscript"/>
          </w:rPr>
          <w:t>4</w:t>
        </w:r>
      </w:fldSimple>
      <w:r>
        <w:t xml:space="preserve">:</w:t>
      </w:r>
    </w:p>
    <w:p>
      <w:pPr>
        <w:pStyle w:val="BodyText"/>
      </w:pPr>
      <w:r>
        <w:rPr>
          <w:bCs/>
          <w:b/>
        </w:rPr>
        <w:t xml:space="preserve">General Collateral (GC)</w:t>
      </w:r>
      <w:r>
        <w:t xml:space="preserve"> </w:t>
      </w:r>
      <w:r>
        <w:t xml:space="preserve">securities trade at annualized rates of 0% to 0.5%. These are widely available, heavily traded securities where lending supply comfortably exceeds borrow demand. The economics of GC lending are marginal; most of the fee revenue passes through to beneficial owners as rebates, and agent lenders earn primarily from operational scale rather than per-unit margins.</w:t>
      </w:r>
    </w:p>
    <w:p>
      <w:pPr>
        <w:pStyle w:val="BodyText"/>
      </w:pPr>
      <w:r>
        <w:rPr>
          <w:bCs/>
          <w:b/>
        </w:rPr>
        <w:t xml:space="preserve">Hard-to-Borrow (HTB)</w:t>
      </w:r>
      <w:r>
        <w:t xml:space="preserve"> </w:t>
      </w:r>
      <w:r>
        <w:t xml:space="preserve">securities command annualized rates of 5% to 50%. These are securities with constrained supply – recent IPOs, heavily shorted names, or thinly traded institutional holdings – where demand from short sellers materially exceeds available inventory. HTB rates fluctuate intraday based on recall activity, new short interest, and corporate events. For a $10 million short position at a 25% annualized rate, the daily borrow cost equals:</w:t>
      </w:r>
    </w:p>
    <w:p>
      <w:pPr>
        <w:pStyle w:val="BodyText"/>
      </w:pPr>
      <m:oMathPara>
        <m:oMathParaPr>
          <m:jc m:val="center"/>
        </m:oMathParaPr>
        <m:oMath>
          <m:r>
            <m:rPr>
              <m:nor/>
              <m:sty m:val="p"/>
            </m:rPr>
            <m:t>Daily Cost</m:t>
          </m:r>
          <m:r>
            <m:rPr>
              <m:sty m:val="p"/>
            </m:rPr>
            <m:t>=</m:t>
          </m:r>
          <m:r>
            <m:rPr>
              <m:sty m:val="p"/>
            </m:rPr>
            <m:t>$</m:t>
          </m:r>
          <m:r>
            <m:t>10</m:t>
          </m:r>
          <m:r>
            <m:rPr>
              <m:sty m:val="p"/>
            </m:rPr>
            <m:t>,</m:t>
          </m:r>
          <m:r>
            <m:t>000</m:t>
          </m:r>
          <m:r>
            <m:rPr>
              <m:sty m:val="p"/>
            </m:rPr>
            <m:t>,</m:t>
          </m:r>
          <m:r>
            <m:t>000</m:t>
          </m:r>
          <m:r>
            <m:rPr>
              <m:sty m:val="p"/>
            </m:rPr>
            <m:t>×</m:t>
          </m:r>
          <m:f>
            <m:fPr>
              <m:type m:val="bar"/>
            </m:fPr>
            <m:num>
              <m:r>
                <m:t>0.25</m:t>
              </m:r>
            </m:num>
            <m:den>
              <m:r>
                <m:t>360</m:t>
              </m:r>
            </m:den>
          </m:f>
          <m:r>
            <m:rPr>
              <m:sty m:val="p"/>
            </m:rPr>
            <m:t>=</m:t>
          </m:r>
          <m:r>
            <m:rPr>
              <m:sty m:val="p"/>
            </m:rPr>
            <m:t>$</m:t>
          </m:r>
          <m:r>
            <m:t>6</m:t>
          </m:r>
          <m:r>
            <m:rPr>
              <m:sty m:val="p"/>
            </m:rPr>
            <m:t>,</m:t>
          </m:r>
          <m:r>
            <m:t>944.44</m:t>
          </m:r>
        </m:oMath>
      </m:oMathPara>
    </w:p>
    <w:p>
      <w:pPr>
        <w:pStyle w:val="FirstParagraph"/>
      </w:pPr>
      <w:r>
        <w:rPr>
          <w:bCs/>
          <w:b/>
        </w:rPr>
        <w:t xml:space="preserve">Special</w:t>
      </w:r>
      <w:r>
        <w:t xml:space="preserve"> </w:t>
      </w:r>
      <w:r>
        <w:t xml:space="preserve">securities – the most constrained subset of HTB – can carry annualized rates from 50% to 500% or higher. These are typically securities involved in merger arbitrage, regulatory investigations, or acute short squeezes where available inventory approaches zero. At a 100% annualized rate, the same $10 million position incurs $27,777.78 in daily borrow cost, making real-time rate awareness a material P&amp;L factor rather than a minor operational consideration.</w:t>
      </w:r>
    </w:p>
    <w:p>
      <w:pPr>
        <w:pStyle w:val="BodyText"/>
      </w:pPr>
      <w:r>
        <w:t xml:space="preserve">The Volume-Weighted Average Fee (VWAF) serves as the industry benchmark for assessing portfolio-level borrow costs:</w:t>
      </w:r>
    </w:p>
    <w:p>
      <w:pPr>
        <w:pStyle w:val="BodyText"/>
      </w:pPr>
      <m:oMathPara>
        <m:oMathParaPr>
          <m:jc m:val="center"/>
        </m:oMathParaPr>
        <m:oMath>
          <m:r>
            <m:rPr>
              <m:nor/>
              <m:sty m:val="p"/>
            </m:rPr>
            <m:t>VWAF</m:t>
          </m:r>
          <m:r>
            <m:rPr>
              <m:sty m:val="p"/>
            </m:rPr>
            <m:t>=</m:t>
          </m:r>
          <m:f>
            <m:fPr>
              <m:type m:val="bar"/>
            </m:fPr>
            <m:num>
              <m:r>
                <m:rPr>
                  <m:sty m:val="p"/>
                </m:rPr>
                <m:t>∑</m:t>
              </m:r>
              <m:d>
                <m:dPr>
                  <m:begChr m:val="("/>
                  <m:endChr m:val=")"/>
                  <m:sepChr m:val=""/>
                  <m:grow/>
                </m:dPr>
                <m:e>
                  <m:sSub>
                    <m:e>
                      <m:r>
                        <m:rPr>
                          <m:nor/>
                          <m:sty m:val="p"/>
                        </m:rPr>
                        <m:t>Transaction_Value</m:t>
                      </m:r>
                    </m:e>
                    <m:sub>
                      <m:r>
                        <m:t>i</m:t>
                      </m:r>
                    </m:sub>
                  </m:sSub>
                  <m:r>
                    <m:rPr>
                      <m:sty m:val="p"/>
                    </m:rPr>
                    <m:t>×</m:t>
                  </m:r>
                  <m:sSub>
                    <m:e>
                      <m:r>
                        <m:rPr>
                          <m:nor/>
                          <m:sty m:val="p"/>
                        </m:rPr>
                        <m:t>Fee</m:t>
                      </m:r>
                    </m:e>
                    <m:sub>
                      <m:r>
                        <m:t>i</m:t>
                      </m:r>
                    </m:sub>
                  </m:sSub>
                </m:e>
              </m:d>
            </m:num>
            <m:den>
              <m:r>
                <m:rPr>
                  <m:sty m:val="p"/>
                </m:rPr>
                <m:t>∑</m:t>
              </m:r>
              <m:sSub>
                <m:e>
                  <m:r>
                    <m:rPr>
                      <m:nor/>
                      <m:sty m:val="p"/>
                    </m:rPr>
                    <m:t>Transaction_Value</m:t>
                  </m:r>
                </m:e>
                <m:sub>
                  <m:r>
                    <m:t>i</m:t>
                  </m:r>
                </m:sub>
              </m:sSub>
            </m:den>
          </m:f>
        </m:oMath>
      </m:oMathPara>
    </w:p>
    <w:p>
      <w:pPr>
        <w:pStyle w:val="FirstParagraph"/>
      </w:pPr>
      <w:r>
        <w:t xml:space="preserve">DataLend publishes VWAF data in real time throughout the trading day, and its research indicates that intraday trade flow data predicts approximately 70% of significant settled data moves – underscoring the informational value of transaction timing</w:t>
      </w:r>
      <w:r>
        <w:t xml:space="preserve"> </w:t>
      </w:r>
      <w:fldSimple w:instr="NOTEREF _Ref_Footnote_13 \h \f">
        <w:r>
          <w:rPr>
            <w:vertAlign w:val="superscript"/>
          </w:rPr>
          <w:t>13</w:t>
        </w:r>
      </w:fldSimple>
      <w:r>
        <w:t xml:space="preserve">.</w:t>
      </w:r>
    </w:p>
    <w:bookmarkEnd w:id="57"/>
    <w:bookmarkEnd w:id="58"/>
    <w:bookmarkStart w:id="59" w:name="current-technology-stack-software-driven"/>
    <w:p>
      <w:pPr>
        <w:pStyle w:val="Heading3"/>
      </w:pPr>
      <w:r>
        <w:t xml:space="preserve">3.2 Current Technology Stack (Software-Driven)</w:t>
      </w:r>
    </w:p>
    <w:p>
      <w:pPr>
        <w:pStyle w:val="FirstParagraph"/>
      </w:pPr>
      <w:r>
        <w:t xml:space="preserve">Every major securities lending platform operates on software-native architecture. No vendor currently offers FPGA-accelerated locate processing, inventory management, or rebate calculation – a finding consistent across EquiLend’s integrated ecosystem, FIS’s compliance-focused tools, ION’s exposure management suite, and TS Imagine’s auto-borrow functionality</w:t>
      </w:r>
      <w:r>
        <w:t xml:space="preserve"> </w:t>
      </w:r>
      <w:fldSimple w:instr="NOTEREF _Ref_Footnote_10 \h \f">
        <w:r>
          <w:rPr>
            <w:vertAlign w:val="superscript"/>
          </w:rPr>
          <w:t>10</w:t>
        </w:r>
      </w:fldSimple>
      <w:r>
        <w:t xml:space="preserve"> </w:t>
      </w:r>
      <w:fldSimple w:instr="NOTEREF _Ref_Footnote_6 \h \f">
        <w:r>
          <w:rPr>
            <w:vertAlign w:val="superscript"/>
          </w:rPr>
          <w:t>6</w:t>
        </w:r>
      </w:fldSimple>
      <w:r>
        <w:t xml:space="preserve"> </w:t>
      </w:r>
      <w:fldSimple w:instr="NOTEREF _Ref_Footnote_14 \h \f">
        <w:r>
          <w:rPr>
            <w:vertAlign w:val="superscript"/>
          </w:rPr>
          <w:t>14</w:t>
        </w:r>
      </w:fldSimple>
      <w:r>
        <w:t xml:space="preserve"> </w:t>
      </w:r>
      <w:fldSimple w:instr="NOTEREF _Ref_Footnote_11 \h \f">
        <w:r>
          <w:rPr>
            <w:vertAlign w:val="superscript"/>
          </w:rPr>
          <w:t>11</w:t>
        </w:r>
      </w:fldSimple>
      <w:r>
        <w:t xml:space="preserve">.</w:t>
      </w:r>
    </w:p>
    <w:tbl>
      <w:tblPr>
        <w:tblStyle w:val="Table"/>
        <w:tblW w:type="pct" w:w="5000"/>
        <w:tblLook w:firstRow="1" w:lastRow="0" w:firstColumn="0" w:lastColumn="0" w:noHBand="0" w:noVBand="0" w:val="0020"/>
      </w:tblPr>
      <w:tblGrid>
        <w:gridCol w:w="1131"/>
        <w:gridCol w:w="905"/>
        <w:gridCol w:w="1923"/>
        <w:gridCol w:w="2036"/>
        <w:gridCol w:w="1923"/>
      </w:tblGrid>
      <w:tr>
        <w:trPr>
          <w:tblHeader w:val="true"/>
        </w:trPr>
        <w:tc>
          <w:tcPr/>
          <w:p>
            <w:pPr>
              <w:pStyle w:val="Compact"/>
              <w:jc w:val="left"/>
            </w:pPr>
            <w:r>
              <w:t xml:space="preserve">Platform</w:t>
            </w:r>
          </w:p>
        </w:tc>
        <w:tc>
          <w:tcPr/>
          <w:p>
            <w:pPr>
              <w:pStyle w:val="Compact"/>
              <w:jc w:val="left"/>
            </w:pPr>
            <w:r>
              <w:t xml:space="preserve">Vendor</w:t>
            </w:r>
          </w:p>
        </w:tc>
        <w:tc>
          <w:tcPr/>
          <w:p>
            <w:pPr>
              <w:pStyle w:val="Compact"/>
              <w:jc w:val="left"/>
            </w:pPr>
            <w:r>
              <w:t xml:space="preserve">Primary Function</w:t>
            </w:r>
          </w:p>
        </w:tc>
        <w:tc>
          <w:tcPr/>
          <w:p>
            <w:pPr>
              <w:pStyle w:val="Compact"/>
              <w:jc w:val="left"/>
            </w:pPr>
            <w:r>
              <w:t xml:space="preserve">Technology Stack</w:t>
            </w:r>
          </w:p>
        </w:tc>
        <w:tc>
          <w:tcPr/>
          <w:p>
            <w:pPr>
              <w:pStyle w:val="Compact"/>
              <w:jc w:val="left"/>
            </w:pPr>
            <w:r>
              <w:t xml:space="preserve">Latency Profile</w:t>
            </w:r>
          </w:p>
        </w:tc>
      </w:tr>
      <w:tr>
        <w:tc>
          <w:tcPr/>
          <w:p>
            <w:pPr>
              <w:pStyle w:val="Compact"/>
              <w:jc w:val="left"/>
            </w:pPr>
            <w:r>
              <w:t xml:space="preserve">Spire / NGT / DataLend / 1Source</w:t>
            </w:r>
          </w:p>
        </w:tc>
        <w:tc>
          <w:tcPr/>
          <w:p>
            <w:pPr>
              <w:pStyle w:val="Compact"/>
              <w:jc w:val="left"/>
            </w:pPr>
            <w:r>
              <w:t xml:space="preserve">EquiLend</w:t>
            </w:r>
          </w:p>
        </w:tc>
        <w:tc>
          <w:tcPr/>
          <w:p>
            <w:pPr>
              <w:pStyle w:val="Compact"/>
              <w:jc w:val="left"/>
            </w:pPr>
            <w:r>
              <w:t xml:space="preserve">Inventory management; electronic trading; analytics; DLT settlement</w:t>
            </w:r>
            <w:r>
              <w:t xml:space="preserve"> </w:t>
            </w:r>
            <w:fldSimple w:instr="NOTEREF _Ref_Footnote_10 \h \f">
              <w:r>
                <w:rPr>
                  <w:vertAlign w:val="superscript"/>
                </w:rPr>
                <w:t>10</w:t>
              </w:r>
            </w:fldSimple>
          </w:p>
        </w:tc>
        <w:tc>
          <w:tcPr/>
          <w:p>
            <w:pPr>
              <w:pStyle w:val="Compact"/>
              <w:jc w:val="left"/>
            </w:pPr>
            <w:r>
              <w:t xml:space="preserve">Software platform; REST/ FIX APIs; Digital Asset Daml smart contracts (1Source)</w:t>
            </w:r>
            <w:r>
              <w:t xml:space="preserve"> </w:t>
            </w:r>
            <w:r>
              <w:rPr>
                <w:vertAlign w:val="superscript"/>
              </w:rPr>
              <w:footnoteReference w:id="33"/>
            </w:r>
          </w:p>
        </w:tc>
        <w:tc>
          <w:tcPr/>
          <w:p>
            <w:pPr>
              <w:pStyle w:val="Compact"/>
              <w:jc w:val="left"/>
            </w:pPr>
            <w:r>
              <w:t xml:space="preserve">Inventory updates &lt;1s; locate response 50-100ms</w:t>
            </w:r>
            <w:r>
              <w:t xml:space="preserve"> </w:t>
            </w:r>
            <w:fldSimple w:instr="NOTEREF _Ref_Footnote_6 \h \f">
              <w:r>
                <w:rPr>
                  <w:vertAlign w:val="superscript"/>
                </w:rPr>
                <w:t>6</w:t>
              </w:r>
            </w:fldSimple>
          </w:p>
        </w:tc>
      </w:tr>
      <w:tr>
        <w:tc>
          <w:tcPr/>
          <w:p>
            <w:pPr>
              <w:pStyle w:val="Compact"/>
              <w:jc w:val="left"/>
            </w:pPr>
            <w:r>
              <w:t xml:space="preserve">Smart Loan / Apex</w:t>
            </w:r>
          </w:p>
        </w:tc>
        <w:tc>
          <w:tcPr/>
          <w:p>
            <w:pPr>
              <w:pStyle w:val="Compact"/>
              <w:jc w:val="left"/>
            </w:pPr>
            <w:r>
              <w:t xml:space="preserve">FIS</w:t>
            </w:r>
          </w:p>
        </w:tc>
        <w:tc>
          <w:tcPr/>
          <w:p>
            <w:pPr>
              <w:pStyle w:val="Compact"/>
              <w:jc w:val="left"/>
            </w:pPr>
            <w:r>
              <w:t xml:space="preserve">Reg SHO compliance; automated locates; 15C3-3 reporting; real-time recall</w:t>
            </w:r>
            <w:r>
              <w:t xml:space="preserve"> </w:t>
            </w:r>
            <w:fldSimple w:instr="NOTEREF _Ref_Footnote_6 \h \f">
              <w:r>
                <w:rPr>
                  <w:vertAlign w:val="superscript"/>
                </w:rPr>
                <w:t>6</w:t>
              </w:r>
            </w:fldSimple>
          </w:p>
        </w:tc>
        <w:tc>
          <w:tcPr/>
          <w:p>
            <w:pPr>
              <w:pStyle w:val="Compact"/>
              <w:jc w:val="left"/>
            </w:pPr>
            <w:r>
              <w:t xml:space="preserve">Software-based; MQ middleware; rules engine</w:t>
            </w:r>
          </w:p>
        </w:tc>
        <w:tc>
          <w:tcPr/>
          <w:p>
            <w:pPr>
              <w:pStyle w:val="Compact"/>
              <w:jc w:val="left"/>
            </w:pPr>
            <w:r>
              <w:t xml:space="preserve">Locate auth 50-100ms; availability decrement real-time</w:t>
            </w:r>
          </w:p>
        </w:tc>
      </w:tr>
      <w:tr>
        <w:tc>
          <w:tcPr/>
          <w:p>
            <w:pPr>
              <w:pStyle w:val="Compact"/>
              <w:jc w:val="left"/>
            </w:pPr>
            <w:r>
              <w:t xml:space="preserve">Anvil</w:t>
            </w:r>
          </w:p>
        </w:tc>
        <w:tc>
          <w:tcPr/>
          <w:p>
            <w:pPr>
              <w:pStyle w:val="Compact"/>
              <w:jc w:val="left"/>
            </w:pPr>
            <w:r>
              <w:t xml:space="preserve">ION Markets</w:t>
            </w:r>
          </w:p>
        </w:tc>
        <w:tc>
          <w:tcPr/>
          <w:p>
            <w:pPr>
              <w:pStyle w:val="Compact"/>
              <w:jc w:val="left"/>
            </w:pPr>
            <w:r>
              <w:t xml:space="preserve">Exposure management; trade processing; P&amp;L/fee calculations</w:t>
            </w:r>
            <w:r>
              <w:t xml:space="preserve"> </w:t>
            </w:r>
            <w:fldSimple w:instr="NOTEREF _Ref_Footnote_14 \h \f">
              <w:r>
                <w:rPr>
                  <w:vertAlign w:val="superscript"/>
                </w:rPr>
                <w:t>14</w:t>
              </w:r>
            </w:fldSimple>
          </w:p>
        </w:tc>
        <w:tc>
          <w:tcPr/>
          <w:p>
            <w:pPr>
              <w:pStyle w:val="Compact"/>
              <w:jc w:val="left"/>
            </w:pPr>
            <w:r>
              <w:t xml:space="preserve">Software platform; real-time position keeping</w:t>
            </w:r>
          </w:p>
        </w:tc>
        <w:tc>
          <w:tcPr/>
          <w:p>
            <w:pPr>
              <w:pStyle w:val="Compact"/>
              <w:jc w:val="left"/>
            </w:pPr>
            <w:r>
              <w:t xml:space="preserve">P&amp;L updates &lt;5s; fee calculations intraday</w:t>
            </w:r>
          </w:p>
        </w:tc>
      </w:tr>
      <w:tr>
        <w:tc>
          <w:tcPr/>
          <w:p>
            <w:pPr>
              <w:pStyle w:val="Compact"/>
              <w:jc w:val="left"/>
            </w:pPr>
            <w:r>
              <w:t xml:space="preserve">LoanSmart</w:t>
            </w:r>
          </w:p>
        </w:tc>
        <w:tc>
          <w:tcPr/>
          <w:p>
            <w:pPr>
              <w:pStyle w:val="Compact"/>
              <w:jc w:val="left"/>
            </w:pPr>
            <w:r>
              <w:t xml:space="preserve">TS Imagine</w:t>
            </w:r>
          </w:p>
        </w:tc>
        <w:tc>
          <w:tcPr/>
          <w:p>
            <w:pPr>
              <w:pStyle w:val="Compact"/>
              <w:jc w:val="left"/>
            </w:pPr>
            <w:r>
              <w:t xml:space="preserve">Auto borrow/loan; pricing engine; asset classification</w:t>
            </w:r>
            <w:r>
              <w:t xml:space="preserve"> </w:t>
            </w:r>
            <w:fldSimple w:instr="NOTEREF _Ref_Footnote_11 \h \f">
              <w:r>
                <w:rPr>
                  <w:vertAlign w:val="superscript"/>
                </w:rPr>
                <w:t>11</w:t>
              </w:r>
            </w:fldSimple>
          </w:p>
        </w:tc>
        <w:tc>
          <w:tcPr/>
          <w:p>
            <w:pPr>
              <w:pStyle w:val="Compact"/>
              <w:jc w:val="left"/>
            </w:pPr>
            <w:r>
              <w:t xml:space="preserve">Software-based; four intelligent engines</w:t>
            </w:r>
          </w:p>
        </w:tc>
        <w:tc>
          <w:tcPr/>
          <w:p>
            <w:pPr>
              <w:pStyle w:val="Compact"/>
              <w:jc w:val="left"/>
            </w:pPr>
            <w:r>
              <w:t xml:space="preserve">Automated borrow triggers; rate refresh intraday</w:t>
            </w:r>
          </w:p>
        </w:tc>
      </w:tr>
    </w:tbl>
    <w:p>
      <w:pPr>
        <w:pStyle w:val="BodyText"/>
      </w:pPr>
      <w:r>
        <w:t xml:space="preserve">EquiLend’s ecosystem merits particular attention given its market dominance. The Spire platform provides consolidated inventory management integrating cash buys and sales, repo, stock borrow/loan, swap hedges, collateral positions, and external availability into a single real-time view</w:t>
      </w:r>
      <w:r>
        <w:t xml:space="preserve"> </w:t>
      </w:r>
      <w:fldSimple w:instr="NOTEREF _Ref_Footnote_10 \h \f">
        <w:r>
          <w:rPr>
            <w:vertAlign w:val="superscript"/>
          </w:rPr>
          <w:t>10</w:t>
        </w:r>
      </w:fldSimple>
      <w:r>
        <w:t xml:space="preserve">. Forward-dated ladders project pending trades and expected positions, while auto-reallocation adjusts inventory in negative lending accounts automatically. NGT handles electronic trade execution at the 50,000-trade-per-day scale described above. DataLend supplies global securities finance analytics and performance benchmarking. 1Source, the newest component, uses distributed ledger technology built on Digital Asset’s Daml smart contract language to create a single source of truth for trade terms and settlement instructions</w:t>
      </w:r>
      <w:r>
        <w:t xml:space="preserve"> </w:t>
      </w:r>
      <w:fldSimple w:instr="NOTEREF _Ref_Footnote_33 \h \f">
        <w:r>
          <w:rPr>
            <w:vertAlign w:val="superscript"/>
          </w:rPr>
          <w:t>33</w:t>
        </w:r>
      </w:fldSimple>
      <w:r>
        <w:t xml:space="preserve">. All of these components communicate through conventional software APIs – none employ hardware acceleration.</w:t>
      </w:r>
    </w:p>
    <w:p>
      <w:pPr>
        <w:pStyle w:val="BodyText"/>
      </w:pPr>
      <w:r>
        <w:t xml:space="preserve">FIS Smart Loan (formerly Loanet) focuses on the regulatory compliance dimension that drives much of the securities lending technology investment. The platform provides real-time Regulation SHO compliance checking, automated locate authorization, 15C3-3 compliant inventory management, and automated recall generation triggered by borrow needs, net short positions, and Continuous Net Settlement (CNS) fails</w:t>
      </w:r>
      <w:r>
        <w:t xml:space="preserve"> </w:t>
      </w:r>
      <w:fldSimple w:instr="NOTEREF _Ref_Footnote_6 \h \f">
        <w:r>
          <w:rPr>
            <w:vertAlign w:val="superscript"/>
          </w:rPr>
          <w:t>6</w:t>
        </w:r>
      </w:fldSimple>
      <w:r>
        <w:t xml:space="preserve">. Locate requests flow through MQ middleware to a rules engine that checks real-time inventory availability, applies user-defined parameters and compliance rules, and returns an authorization with a unique locate identifier. The entire workflow is software-driven with sequential database queries at its core.</w:t>
      </w:r>
    </w:p>
    <w:p>
      <w:pPr>
        <w:pStyle w:val="BodyText"/>
      </w:pPr>
      <w:r>
        <w:t xml:space="preserve">The closest the securities lending space comes to hardware acceleration is Cboe Hanweck’s Borrow Intensity Indicators, which apply machine learning models to mine equity options market data at millisecond granularity to generate real-time stock borrow rate estimates and term curves. The service covers approximately 4,000 of the most actively traded securities – representing roughly 75% of securities financing market activity – with term structure updates at 20-minute intervals and predictive analytics that alert users to rising or easing borrow conditions. While the millisecond-level data processing suggests proximity to low-latency infrastructure, Hanweck does not publicly disclose FPGA usage in its architecture, and the 20-minute term structure refresh interval confirms this is an analytics product rather than a latency-sensitive execution service.</w:t>
      </w:r>
    </w:p>
    <w:bookmarkEnd w:id="59"/>
    <w:bookmarkStart w:id="60" w:name="the-locate-engine-bottleneck"/>
    <w:p>
      <w:pPr>
        <w:pStyle w:val="Heading3"/>
      </w:pPr>
      <w:r>
        <w:t xml:space="preserve">3.3 The Locate Engine Bottleneck</w:t>
      </w:r>
    </w:p>
    <w:p>
      <w:pPr>
        <w:pStyle w:val="FirstParagraph"/>
      </w:pPr>
      <w:r>
        <w:t xml:space="preserve">Regulation SHO, effective since January 3, 2005, mandates that broker-dealers have</w:t>
      </w:r>
      <w:r>
        <w:t xml:space="preserve"> </w:t>
      </w:r>
      <w:r>
        <w:t xml:space="preserve">“</w:t>
      </w:r>
      <w:r>
        <w:t xml:space="preserve">reasonable grounds to believe</w:t>
      </w:r>
      <w:r>
        <w:t xml:space="preserve">”</w:t>
      </w:r>
      <w:r>
        <w:t xml:space="preserve"> </w:t>
      </w:r>
      <w:r>
        <w:t xml:space="preserve">a security can be borrowed before effecting a short sale</w:t>
      </w:r>
      <w:r>
        <w:t xml:space="preserve"> </w:t>
      </w:r>
      <w:fldSimple w:instr="NOTEREF _Ref_Footnote_7 \h \f">
        <w:r>
          <w:rPr>
            <w:vertAlign w:val="superscript"/>
          </w:rPr>
          <w:t>7</w:t>
        </w:r>
      </w:fldSimple>
      <w:r>
        <w:t xml:space="preserve">. Rule 203(b)(1) requires this</w:t>
      </w:r>
      <w:r>
        <w:t xml:space="preserve"> </w:t>
      </w:r>
      <w:r>
        <w:t xml:space="preserve">“</w:t>
      </w:r>
      <w:r>
        <w:t xml:space="preserve">locate</w:t>
      </w:r>
      <w:r>
        <w:t xml:space="preserve">”</w:t>
      </w:r>
      <w:r>
        <w:t xml:space="preserve"> </w:t>
      </w:r>
      <w:r>
        <w:t xml:space="preserve">to be documented prior to execution, creating a hard latency boundary: no short sale can proceed until the locate request returns an authorization. The locate engine thus sits on the critical path of short-selling workflow, making its response time a direct constraint on trading velocity.</w:t>
      </w:r>
    </w:p>
    <w:p>
      <w:pPr>
        <w:pStyle w:val="BodyText"/>
      </w:pPr>
      <w:r>
        <w:t xml:space="preserve">The typical locate workflow proceeds through six sequential steps</w:t>
      </w:r>
      <w:r>
        <w:t xml:space="preserve"> </w:t>
      </w:r>
      <w:fldSimple w:instr="NOTEREF _Ref_Footnote_6 \h \f">
        <w:r>
          <w:rPr>
            <w:vertAlign w:val="superscript"/>
          </w:rPr>
          <w:t>6</w:t>
        </w:r>
      </w:fldSimple>
      <w:r>
        <w:t xml:space="preserve">: the trader submits a locate request (single security, basket, or bulk spreadsheet upload); the request routes via message queue middleware to the locate authorization module; the system checks real-time inventory availability across potentially multiple internal and external sources; user-defined business rules and compliance parameters are applied; the system returns an authorization status (approve, pending, or reject) with a unique locate identifier; and approved locates trigger a real-time availability decrement. Full audit trails are maintained for all intraday requests to satisfy regulatory examination requirements.</w:t>
      </w:r>
    </w:p>
    <w:p>
      <w:pPr>
        <w:pStyle w:val="BodyText"/>
      </w:pPr>
      <w:r>
        <w:t xml:space="preserve">Current locate response latency ranges from</w:t>
      </w:r>
      <w:r>
        <w:t xml:space="preserve"> </w:t>
      </w:r>
      <w:r>
        <w:rPr>
          <w:bCs/>
          <w:b/>
        </w:rPr>
        <w:t xml:space="preserve">50 to 100 milliseconds</w:t>
      </w:r>
      <w:r>
        <w:t xml:space="preserve"> </w:t>
      </w:r>
      <w:r>
        <w:t xml:space="preserve">for typical software-based systems</w:t>
      </w:r>
      <w:r>
        <w:t xml:space="preserve"> </w:t>
      </w:r>
      <w:fldSimple w:instr="NOTEREF _Ref_Footnote_6 \h \f">
        <w:r>
          <w:rPr>
            <w:vertAlign w:val="superscript"/>
          </w:rPr>
          <w:t>6</w:t>
        </w:r>
      </w:fldSimple>
      <w:r>
        <w:t xml:space="preserve">. This may seem modest compared to the nanosecond-scale latencies discussed in Chapter 2 for delta-one execution, but the difference in economic context matters. In securities lending, the locate is a blocking pre-trade requirement – every millisecond of locate latency directly delays the subsequent short sale execution. For a hedge fund executing a time-sensitive short against a deteriorating credit, a 100-millisecond locate delay can mean the difference between capturing a price dislocation and missing it entirely. Inventory updates propagate in under one second, but the sequential database queries that power the locate check create a latency floor that software optimization alone struggles to break through.</w:t>
      </w:r>
    </w:p>
    <w:p>
      <w:pPr>
        <w:pStyle w:val="BodyText"/>
      </w:pPr>
      <w:r>
        <w:t xml:space="preserve">The computational challenge intensifies with scale. A prime broker servicing hundreds of hedge fund clients may field thousands of locate requests per minute during market stress. Each request requires availability checks across fragmented inventory sources – proprietary holdings, agent lender feeds, tri-party repo pools, and external depository records – with complex overlay rules governing counterparty credit limits, collateral schedules, and regulatory constraints. The sequential processing model of current software systems becomes a throughput bottleneck well before it becomes a latency bottleneck.</w:t>
      </w:r>
    </w:p>
    <w:bookmarkEnd w:id="60"/>
    <w:bookmarkStart w:id="61" w:name="fpga-opportunity-assessment"/>
    <w:p>
      <w:pPr>
        <w:pStyle w:val="Heading3"/>
      </w:pPr>
      <w:r>
        <w:t xml:space="preserve">3.4 FPGA Opportunity Assessment</w:t>
      </w:r>
    </w:p>
    <w:p>
      <w:pPr>
        <w:pStyle w:val="FirstParagraph"/>
      </w:pPr>
      <w:r>
        <w:t xml:space="preserve">Despite the absence of current deployments, three specific use cases within securities lending present plausible greenfield opportunities for FPGA acceleration. Each targets a deterministic, repetitive computational workflow with quantifiable latency requirements – the precise conditions where FPGA delivers maximum value.</w:t>
      </w:r>
    </w:p>
    <w:tbl>
      <w:tblPr>
        <w:tblStyle w:val="Table"/>
        <w:tblW w:type="pct" w:w="5000"/>
        <w:tblLook w:firstRow="1" w:lastRow="0" w:firstColumn="0" w:lastColumn="0" w:noHBand="0" w:noVBand="0" w:val="0020"/>
      </w:tblPr>
      <w:tblGrid>
        <w:gridCol w:w="865"/>
        <w:gridCol w:w="1064"/>
        <w:gridCol w:w="1464"/>
        <w:gridCol w:w="1597"/>
        <w:gridCol w:w="1730"/>
        <w:gridCol w:w="1197"/>
      </w:tblGrid>
      <w:tr>
        <w:trPr>
          <w:tblHeader w:val="true"/>
        </w:trPr>
        <w:tc>
          <w:tcPr/>
          <w:p>
            <w:pPr>
              <w:pStyle w:val="Compact"/>
              <w:jc w:val="left"/>
            </w:pPr>
            <w:r>
              <w:t xml:space="preserve">Opportunity</w:t>
            </w:r>
          </w:p>
        </w:tc>
        <w:tc>
          <w:tcPr/>
          <w:p>
            <w:pPr>
              <w:pStyle w:val="Compact"/>
              <w:jc w:val="left"/>
            </w:pPr>
            <w:r>
              <w:t xml:space="preserve">Current Latency</w:t>
            </w:r>
          </w:p>
        </w:tc>
        <w:tc>
          <w:tcPr/>
          <w:p>
            <w:pPr>
              <w:pStyle w:val="Compact"/>
              <w:jc w:val="left"/>
            </w:pPr>
            <w:r>
              <w:t xml:space="preserve">FPGA-Targeted Latency</w:t>
            </w:r>
          </w:p>
        </w:tc>
        <w:tc>
          <w:tcPr/>
          <w:p>
            <w:pPr>
              <w:pStyle w:val="Compact"/>
              <w:jc w:val="left"/>
            </w:pPr>
            <w:r>
              <w:t xml:space="preserve">Computational Approach</w:t>
            </w:r>
          </w:p>
        </w:tc>
        <w:tc>
          <w:tcPr/>
          <w:p>
            <w:pPr>
              <w:pStyle w:val="Compact"/>
              <w:jc w:val="left"/>
            </w:pPr>
            <w:r>
              <w:t xml:space="preserve">Implementation Complexity</w:t>
            </w:r>
          </w:p>
        </w:tc>
        <w:tc>
          <w:tcPr/>
          <w:p>
            <w:pPr>
              <w:pStyle w:val="Compact"/>
              <w:jc w:val="left"/>
            </w:pPr>
            <w:r>
              <w:t xml:space="preserve">Estimated Impact</w:t>
            </w:r>
          </w:p>
        </w:tc>
      </w:tr>
      <w:tr>
        <w:tc>
          <w:tcPr/>
          <w:p>
            <w:pPr>
              <w:pStyle w:val="Compact"/>
              <w:jc w:val="left"/>
            </w:pPr>
            <w:r>
              <w:t xml:space="preserve">Hardware-accelerated locate engine</w:t>
            </w:r>
          </w:p>
        </w:tc>
        <w:tc>
          <w:tcPr/>
          <w:p>
            <w:pPr>
              <w:pStyle w:val="Compact"/>
              <w:jc w:val="left"/>
            </w:pPr>
            <w:r>
              <w:t xml:space="preserve">50-100ms (sequential DB queries)</w:t>
            </w:r>
            <w:r>
              <w:t xml:space="preserve"> </w:t>
            </w:r>
            <w:fldSimple w:instr="NOTEREF _Ref_Footnote_6 \h \f">
              <w:r>
                <w:rPr>
                  <w:vertAlign w:val="superscript"/>
                </w:rPr>
                <w:t>6</w:t>
              </w:r>
            </w:fldSimple>
          </w:p>
        </w:tc>
        <w:tc>
          <w:tcPr/>
          <w:p>
            <w:pPr>
              <w:pStyle w:val="Compact"/>
              <w:jc w:val="left"/>
            </w:pPr>
            <w:r>
              <w:t xml:space="preserve">Sub-microsecond (&lt;1</w:t>
            </w:r>
            <m:oMath>
              <m:r>
                <m:t>μ</m:t>
              </m:r>
            </m:oMath>
            <w:r>
              <w:t xml:space="preserve">s)</w:t>
            </w:r>
          </w:p>
        </w:tc>
        <w:tc>
          <w:tcPr/>
          <w:p>
            <w:pPr>
              <w:pStyle w:val="Compact"/>
              <w:jc w:val="left"/>
            </w:pPr>
            <w:r>
              <w:t xml:space="preserve">Parallel inventory lookup across all sources in FPGA BRAM; hardware-accelerated availability decrement</w:t>
            </w:r>
          </w:p>
        </w:tc>
        <w:tc>
          <w:tcPr/>
          <w:p>
            <w:pPr>
              <w:pStyle w:val="Compact"/>
              <w:jc w:val="left"/>
            </w:pPr>
            <w:r>
              <w:t xml:space="preserve">High: requires custom integration with EquiLend/FIS APIs; FPGA BRAM size limits inventory table scale</w:t>
            </w:r>
          </w:p>
        </w:tc>
        <w:tc>
          <w:tcPr/>
          <w:p>
            <w:pPr>
              <w:pStyle w:val="Compact"/>
              <w:jc w:val="left"/>
            </w:pPr>
            <w:r>
              <w:t xml:space="preserve">100x+ response improvement; enables high-frequency short-selling strategies</w:t>
            </w:r>
          </w:p>
        </w:tc>
      </w:tr>
      <w:tr>
        <w:tc>
          <w:tcPr/>
          <w:p>
            <w:pPr>
              <w:pStyle w:val="Compact"/>
              <w:jc w:val="left"/>
            </w:pPr>
            <w:r>
              <w:t xml:space="preserve">Streaming VWAF calculation</w:t>
            </w:r>
          </w:p>
        </w:tc>
        <w:tc>
          <w:tcPr/>
          <w:p>
            <w:pPr>
              <w:pStyle w:val="Compact"/>
              <w:jc w:val="left"/>
            </w:pPr>
            <w:r>
              <w:t xml:space="preserve">Batch/real-time software aggregation</w:t>
            </w:r>
          </w:p>
        </w:tc>
        <w:tc>
          <w:tcPr/>
          <w:p>
            <w:pPr>
              <w:pStyle w:val="Compact"/>
              <w:jc w:val="left"/>
            </w:pPr>
            <w:r>
              <w:t xml:space="preserve">Continuous running calculation per trade</w:t>
            </w:r>
          </w:p>
        </w:tc>
        <w:tc>
          <w:tcPr/>
          <w:p>
            <w:pPr>
              <w:pStyle w:val="Compact"/>
              <w:jc w:val="left"/>
            </w:pPr>
            <w:r>
              <w:t xml:space="preserve">Streaming multiply-accumulate pipeline; parallel fee computation across portfolio</w:t>
            </w:r>
          </w:p>
        </w:tc>
        <w:tc>
          <w:tcPr/>
          <w:p>
            <w:pPr>
              <w:pStyle w:val="Compact"/>
              <w:jc w:val="left"/>
            </w:pPr>
            <w:r>
              <w:t xml:space="preserve">Medium: arithmetic logic straightforward; requires trade feed integration</w:t>
            </w:r>
          </w:p>
        </w:tc>
        <w:tc>
          <w:tcPr/>
          <w:p>
            <w:pPr>
              <w:pStyle w:val="Compact"/>
              <w:jc w:val="left"/>
            </w:pPr>
            <w:r>
              <w:t xml:space="preserve">Real-time HTB rate updates at minute granularity; improved P&amp;L attribution</w:t>
            </w:r>
          </w:p>
        </w:tc>
      </w:tr>
      <w:tr>
        <w:tc>
          <w:tcPr/>
          <w:p>
            <w:pPr>
              <w:pStyle w:val="Compact"/>
              <w:jc w:val="left"/>
            </w:pPr>
            <w:r>
              <w:t xml:space="preserve">T+1 settlement acceleration</w:t>
            </w:r>
          </w:p>
        </w:tc>
        <w:tc>
          <w:tcPr/>
          <w:p>
            <w:pPr>
              <w:pStyle w:val="Compact"/>
              <w:jc w:val="left"/>
            </w:pPr>
            <w:r>
              <w:t xml:space="preserve">Software-driven sequential processing</w:t>
            </w:r>
          </w:p>
        </w:tc>
        <w:tc>
          <w:tcPr/>
          <w:p>
            <w:pPr>
              <w:pStyle w:val="Compact"/>
              <w:jc w:val="left"/>
            </w:pPr>
            <w:r>
              <w:t xml:space="preserve">Deterministic sub-millisecond instruction generation</w:t>
            </w:r>
          </w:p>
        </w:tc>
        <w:tc>
          <w:tcPr/>
          <w:p>
            <w:pPr>
              <w:pStyle w:val="Compact"/>
              <w:jc w:val="left"/>
            </w:pPr>
            <w:r>
              <w:t xml:space="preserve">Hardware-accelerated auto-borrow/auto-collateralization decision logic</w:t>
            </w:r>
          </w:p>
        </w:tc>
        <w:tc>
          <w:tcPr/>
          <w:p>
            <w:pPr>
              <w:pStyle w:val="Compact"/>
              <w:jc w:val="left"/>
            </w:pPr>
            <w:r>
              <w:t xml:space="preserve">High: must integrate with DLT settlement rails (1Source); regulatory validation required</w:t>
            </w:r>
          </w:p>
        </w:tc>
        <w:tc>
          <w:tcPr/>
          <w:p>
            <w:pPr>
              <w:pStyle w:val="Compact"/>
              <w:jc w:val="left"/>
            </w:pPr>
            <w:r>
              <w:t xml:space="preserve">Compressed settlement timeline compliance; reduced fail-to-deliver risk</w:t>
            </w:r>
            <w:r>
              <w:t xml:space="preserve"> </w:t>
            </w:r>
            <w:r>
              <w:rPr>
                <w:vertAlign w:val="superscript"/>
              </w:rPr>
              <w:footnoteReference w:id="34"/>
            </w:r>
          </w:p>
        </w:tc>
      </w:tr>
    </w:tbl>
    <w:p>
      <w:pPr>
        <w:pStyle w:val="BodyText"/>
      </w:pPr>
      <w:r>
        <w:rPr>
          <w:bCs/>
          <w:b/>
        </w:rPr>
        <w:t xml:space="preserve">Hardware-accelerated locate engine.</w:t>
      </w:r>
      <w:r>
        <w:t xml:space="preserve"> </w:t>
      </w:r>
      <w:r>
        <w:t xml:space="preserve">The most immediately impactful opportunity is a parallelized locate authorization system. Rather than querying inventory databases sequentially, an FPGA-based locate engine could maintain inventory availability tables in on-chip Block RAM (BRAM), enabling parallel lookup across all inventory sources in a single clock cycle. A locate request for a specific security would trigger a simultaneous search across proprietary holdings, agent lender feeds, and external availability pools – reducing the 50-100 millisecond software latency to sub-microsecond response times. Approved locates would decrement availability registers in hardware, eliminating the round-trip to a database server. At 100x improvement over current systems, such an engine would not merely optimize existing workflows but enable entirely new categories of high-frequency short-selling strategies that are currently impractical due to locate latency constraints.</w:t>
      </w:r>
    </w:p>
    <w:p>
      <w:pPr>
        <w:pStyle w:val="BodyText"/>
      </w:pPr>
      <w:r>
        <w:rPr>
          <w:bCs/>
          <w:b/>
        </w:rPr>
        <w:t xml:space="preserve">Streaming VWAF calculation.</w:t>
      </w:r>
      <w:r>
        <w:t xml:space="preserve"> </w:t>
      </w:r>
      <w:r>
        <w:t xml:space="preserve">The running Volume-Weighted Average Fee computation is ideally suited to FPGA’s streaming architecture. Each new trade triggers a multiply-accumulate operation (transaction value multiplied by fee, added to a running numerator accumulator, while transaction value adds to a running denominator), followed by a division to produce the updated VWAF. An FPGA pipeline could process each trade in a single clock cycle, producing continuous real-time fee benchmarks rather than the periodic batch updates current systems provide. For HTB securities where rates fluctuate minute-to-minute, this granularity translates directly into improved trading decisions and more accurate P&amp;L attribution.</w:t>
      </w:r>
    </w:p>
    <w:p>
      <w:pPr>
        <w:pStyle w:val="BodyText"/>
      </w:pPr>
      <w:r>
        <w:rPr>
          <w:bCs/>
          <w:b/>
        </w:rPr>
        <w:t xml:space="preserve">T+1 settlement acceleration.</w:t>
      </w:r>
      <w:r>
        <w:t xml:space="preserve"> </w:t>
      </w:r>
      <w:r>
        <w:t xml:space="preserve">The US securities industry transitioned to T+1 settlement in May 2024; the European Union targets October 2027</w:t>
      </w:r>
      <w:r>
        <w:t xml:space="preserve"> </w:t>
      </w:r>
      <w:fldSimple w:instr="NOTEREF _Ref_Footnote_34 \h \f">
        <w:r>
          <w:rPr>
            <w:vertAlign w:val="superscript"/>
          </w:rPr>
          <w:t>34</w:t>
        </w:r>
      </w:fldSimple>
      <w:r>
        <w:t xml:space="preserve"> </w:t>
      </w:r>
      <w:r>
        <w:rPr>
          <w:vertAlign w:val="superscript"/>
        </w:rPr>
        <w:footnoteReference w:id="35"/>
      </w:r>
      <w:r>
        <w:t xml:space="preserve">. Compressed settlement timelines create demand for deterministic processing: settlement instructions must reach the Securities Settlement System by 23:59 on trade date, requiring real-time processing after allocation, confirmation, and booking</w:t>
      </w:r>
      <w:r>
        <w:t xml:space="preserve"> </w:t>
      </w:r>
      <w:fldSimple w:instr="NOTEREF _Ref_Footnote_34 \h \f">
        <w:r>
          <w:rPr>
            <w:vertAlign w:val="superscript"/>
          </w:rPr>
          <w:t>34</w:t>
        </w:r>
      </w:fldSimple>
      <w:r>
        <w:t xml:space="preserve">. Auto-borrowing and auto-collateralization facilities must execute within hours rather than days. FPGA-based decision engines could generate settlement instructions with guaranteed sub-millisecond latency, reducing operational risk in the compressed T+1 window. However, this application faces the highest implementation barrier: integration with distributed ledger settlement infrastructure (EquiLend’s 1Source uses Daml smart contracts on Digital Asset’s Canton platform</w:t>
      </w:r>
      <w:r>
        <w:t xml:space="preserve"> </w:t>
      </w:r>
      <w:fldSimple w:instr="NOTEREF _Ref_Footnote_33 \h \f">
        <w:r>
          <w:rPr>
            <w:vertAlign w:val="superscript"/>
          </w:rPr>
          <w:t>33</w:t>
        </w:r>
      </w:fldSimple>
      <w:r>
        <w:t xml:space="preserve">) and the need for regulatory validation of hardware-accelerated compliance logic.</w:t>
      </w:r>
    </w:p>
    <w:bookmarkEnd w:id="61"/>
    <w:bookmarkStart w:id="62" w:name="implementation-barriers"/>
    <w:p>
      <w:pPr>
        <w:pStyle w:val="Heading3"/>
      </w:pPr>
      <w:r>
        <w:t xml:space="preserve">3.5 Implementation Barriers</w:t>
      </w:r>
    </w:p>
    <w:p>
      <w:pPr>
        <w:pStyle w:val="FirstParagraph"/>
      </w:pPr>
      <w:r>
        <w:t xml:space="preserve">The case for FPGA in securities lending is technically coherent but practically challenging, constrained by market structure and operational culture more than by technological feasibility.</w:t>
      </w:r>
    </w:p>
    <w:p>
      <w:pPr>
        <w:pStyle w:val="BodyText"/>
      </w:pPr>
      <w:r>
        <w:t xml:space="preserve">First, securities lending workflows change infrequently compared to delta-one execution strategies. While a high-frequency trading firm might revise its tick-to-trade logic weekly to adapt to market microstructure changes, locate rules, rebate calculations, and settlement workflows evolve on timescales of months or years. FPGA’s reprogrammability is a less compelling advantage when the underlying logic is stable. The investment in specialized FPGA engineering talent and hardware infrastructure is harder to justify when the latency gains do not translate into directly measurable alpha generation.</w:t>
      </w:r>
    </w:p>
    <w:p>
      <w:pPr>
        <w:pStyle w:val="BodyText"/>
      </w:pPr>
      <w:r>
        <w:t xml:space="preserve">Second, the securities lending market remains fundamentally relationship-driven. Credit limits, counterparty approvals, and fee negotiation protocols matter more than microseconds in most trading situations. A prime broker extending locate to a flagship hedge fund client optimizes for relationship reliability and operational trust, not raw authorization speed. The EquiLend ecosystem’s dominance – integrating trading, inventory, analytics, and settlement in a single vendor relationship – creates switching costs that a standalone FPGA acceleration layer would struggle to overcome.</w:t>
      </w:r>
    </w:p>
    <w:p>
      <w:pPr>
        <w:pStyle w:val="BodyText"/>
      </w:pPr>
      <w:r>
        <w:t xml:space="preserve">Third, no vendor currently offers FPGA-accelerated securities lending products. Unlike the delta-one execution space, where AMD Alveo cards, Exegy’s nxFramework, and Magmio’s SDK provide off-the-shelf acceleration building blocks, securities lending would require bespoke FPGA development integrated with EquiLend’s proprietary APIs, FIS’s rules engines, or ION’s exposure management systems. The custom integration burden falls on individual firms rather than being absorbed by platform vendors, raising the effective cost of adoption.</w:t>
      </w:r>
    </w:p>
    <w:p>
      <w:pPr>
        <w:pStyle w:val="BodyText"/>
      </w:pPr>
      <w:r>
        <w:t xml:space="preserve">These barriers explain why, despite multi-trillion-dollar market scale and quantifiable latency bottlenecks, securities lending remains an FPGA-free zone. The greenfield opportunities identified in Section 3.4 are genuine, but their realization likely depends on a vendor-led initiative – perhaps EquiLend or a disruptive entrant – embedding hardware acceleration into the platform layer rather than on individual sell-side firms building custom FPGA locate engines. The precedent from delta-one trading, where FPGA adoption accelerated only after Xilinx (now AMD) and Exegy productized hardware-accelerated feed handlers and order gateways, suggests that securities lending FPGA deployment will require a similar vendor catalyst.</w:t>
      </w:r>
    </w:p>
    <w:p>
      <w:r>
        <w:pict>
          <v:rect style="width:0;height:1.5pt" o:hralign="center" o:hrstd="t" o:hr="t"/>
        </w:pict>
      </w:r>
    </w:p>
    <w:bookmarkEnd w:id="62"/>
    <w:bookmarkEnd w:id="63"/>
    <w:bookmarkStart w:id="72" w:name="fpga-in-trading-inventory-management"/>
    <w:p>
      <w:pPr>
        <w:pStyle w:val="Heading2"/>
      </w:pPr>
      <w:r>
        <w:t xml:space="preserve">4. FPGA in Trading Inventory Management</w:t>
      </w:r>
    </w:p>
    <w:p>
      <w:pPr>
        <w:pStyle w:val="FirstParagraph"/>
      </w:pPr>
      <w:r>
        <w:t xml:space="preserve">Where Chapter 3 demonstrated that securities lending remains a software-dominated domain with no documented FPGA deployments, this chapter examines the highest-return application of programmable logic in trading infrastructure: real-time inventory management for options market makers. The computational load of maintaining delta-neutral books across 10,000+ option series, recalculating Greeks on every tick, and generating hedging orders within microseconds creates a workload profile that aligns precisely with FPGA architectural strengths. The evidence assembled here suggests that inventory management represents the most technically compelling—and commercially valuable—FPGA acceleration opportunity across all three domains under analysis.</w:t>
      </w:r>
    </w:p>
    <w:bookmarkStart w:id="64" w:name="market-maker-inventory-workflows"/>
    <w:p>
      <w:pPr>
        <w:pStyle w:val="Heading3"/>
      </w:pPr>
      <w:r>
        <w:t xml:space="preserve">4.1 Market Maker Inventory Workflows</w:t>
      </w:r>
    </w:p>
    <w:p>
      <w:pPr>
        <w:pStyle w:val="FirstParagraph"/>
      </w:pPr>
      <w:r>
        <w:t xml:space="preserve">Options market makers operate under a mandate of continuous two-sided quotation. A single firm may quote on 10,000 or more option contracts simultaneously across dozens of underlying securities, updating bid and ask prices multiple times per second in response to every change in the underlying spot price</w:t>
      </w:r>
      <w:r>
        <w:t xml:space="preserve"> </w:t>
      </w:r>
      <w:fldSimple w:instr="NOTEREF _Ref_Footnote_8 \h \f">
        <w:r>
          <w:rPr>
            <w:vertAlign w:val="superscript"/>
          </w:rPr>
          <w:t>8</w:t>
        </w:r>
      </w:fldSimple>
      <w:r>
        <w:t xml:space="preserve">. The median market maker maintains two-sided quotes for 78% of the trading day and competes at the best bid or offer (BBO) on both sides 32.4% of the time</w:t>
      </w:r>
      <w:r>
        <w:t xml:space="preserve"> </w:t>
      </w:r>
      <w:r>
        <w:rPr>
          <w:vertAlign w:val="superscript"/>
        </w:rPr>
        <w:footnoteReference w:id="36"/>
      </w:r>
      <w:r>
        <w:t xml:space="preserve">. Daily contract volume routinely exceeds 200,000 transactions per firm, with inventory mean-reverting within five-minute intervals and end-of-day Greek exposures compressed to negligible levels: delta at 7 basis points, vega at 1 basis point, and gamma at effectively zero of daily volume</w:t>
      </w:r>
      <w:r>
        <w:t xml:space="preserve"> </w:t>
      </w:r>
      <w:fldSimple w:instr="NOTEREF _Ref_Footnote_36 \h \f">
        <w:r>
          <w:rPr>
            <w:vertAlign w:val="superscript"/>
          </w:rPr>
          <w:t>36</w:t>
        </w:r>
      </w:fldSimple>
      <w:r>
        <w:t xml:space="preserve">.</w:t>
      </w:r>
    </w:p>
    <w:p>
      <w:pPr>
        <w:pStyle w:val="BodyText"/>
      </w:pPr>
      <w:r>
        <w:t xml:space="preserve">This compressed risk profile is achieved through an intensely computational workflow that executes on every tick. When the underlying price moves, the market maker must recalculate delta (</w:t>
      </w:r>
      <m:oMath>
        <m:r>
          <m:t>Δ</m:t>
        </m:r>
        <m:r>
          <m:rPr>
            <m:sty m:val="p"/>
          </m:rPr>
          <m:t>=</m:t>
        </m:r>
        <m:r>
          <m:rPr>
            <m:sty m:val="p"/>
          </m:rPr>
          <m:t>∂</m:t>
        </m:r>
        <m:r>
          <m:t>V</m:t>
        </m:r>
        <m:r>
          <m:rPr>
            <m:sty m:val="p"/>
          </m:rPr>
          <m:t>/</m:t>
        </m:r>
        <m:r>
          <m:rPr>
            <m:sty m:val="p"/>
          </m:rPr>
          <m:t>∂</m:t>
        </m:r>
        <m:r>
          <m:t>S</m:t>
        </m:r>
      </m:oMath>
      <w:r>
        <w:t xml:space="preserve">), gamma (</w:t>
      </w:r>
      <m:oMath>
        <m:r>
          <m:t>Γ</m:t>
        </m:r>
        <m:r>
          <m:rPr>
            <m:sty m:val="p"/>
          </m:rPr>
          <m:t>=</m:t>
        </m:r>
        <m:sSup>
          <m:e>
            <m:r>
              <m:rPr>
                <m:sty m:val="p"/>
              </m:rPr>
              <m:t>∂</m:t>
            </m:r>
          </m:e>
          <m:sup>
            <m:r>
              <m:t>2</m:t>
            </m:r>
          </m:sup>
        </m:sSup>
        <m:r>
          <m:t>V</m:t>
        </m:r>
        <m:r>
          <m:rPr>
            <m:sty m:val="p"/>
          </m:rPr>
          <m:t>/</m:t>
        </m:r>
        <m:r>
          <m:rPr>
            <m:sty m:val="p"/>
          </m:rPr>
          <m:t>∂</m:t>
        </m:r>
        <m:sSup>
          <m:e>
            <m:r>
              <m:t>S</m:t>
            </m:r>
          </m:e>
          <m:sup>
            <m:r>
              <m:t>2</m:t>
            </m:r>
          </m:sup>
        </m:sSup>
      </m:oMath>
      <w:r>
        <w:t xml:space="preserve">), theta (</w:t>
      </w:r>
      <m:oMath>
        <m:r>
          <m:t>Θ</m:t>
        </m:r>
        <m:r>
          <m:rPr>
            <m:sty m:val="p"/>
          </m:rPr>
          <m:t>=</m:t>
        </m:r>
        <m:r>
          <m:rPr>
            <m:sty m:val="p"/>
          </m:rPr>
          <m:t>∂</m:t>
        </m:r>
        <m:r>
          <m:t>V</m:t>
        </m:r>
        <m:r>
          <m:rPr>
            <m:sty m:val="p"/>
          </m:rPr>
          <m:t>/</m:t>
        </m:r>
        <m:r>
          <m:rPr>
            <m:sty m:val="p"/>
          </m:rPr>
          <m:t>∂</m:t>
        </m:r>
        <m:r>
          <m:t>t</m:t>
        </m:r>
      </m:oMath>
      <w:r>
        <w:t xml:space="preserve">), and vega (</w:t>
      </w:r>
      <m:oMath>
        <m:r>
          <m:rPr>
            <m:sty m:val="p"/>
            <m:scr m:val="script"/>
          </m:rPr>
          <m:t>V</m:t>
        </m:r>
        <m:r>
          <m:rPr>
            <m:sty m:val="p"/>
          </m:rPr>
          <m:t>=</m:t>
        </m:r>
        <m:r>
          <m:rPr>
            <m:sty m:val="p"/>
          </m:rPr>
          <m:t>∂</m:t>
        </m:r>
        <m:r>
          <m:t>V</m:t>
        </m:r>
        <m:r>
          <m:rPr>
            <m:sty m:val="p"/>
          </m:rPr>
          <m:t>/</m:t>
        </m:r>
        <m:r>
          <m:rPr>
            <m:sty m:val="p"/>
          </m:rPr>
          <m:t>∂</m:t>
        </m:r>
        <m:r>
          <m:t>σ</m:t>
        </m:r>
      </m:oMath>
      <w:r>
        <w:t xml:space="preserve">) for every affected option series, determine the hedge adjustment required to restore delta neutrality, apply inventory skew to widen spreads on the exposed side, and transmit updated quotes to the exchange before competing firms</w:t>
      </w:r>
      <w:r>
        <w:t xml:space="preserve"> </w:t>
      </w:r>
      <w:fldSimple w:instr="NOTEREF _Ref_Footnote_8 \h \f">
        <w:r>
          <w:rPr>
            <w:vertAlign w:val="superscript"/>
          </w:rPr>
          <w:t>8</w:t>
        </w:r>
      </w:fldSimple>
      <w:r>
        <w:t xml:space="preserve">. For a book of 10,000 option series, each tick triggers 40,000 or more individual Greek calculations, often repeated multiple times per second during volatile periods</w:t>
      </w:r>
      <w:r>
        <w:t xml:space="preserve"> </w:t>
      </w:r>
      <w:fldSimple w:instr="NOTEREF _Ref_Footnote_8 \h \f">
        <w:r>
          <w:rPr>
            <w:vertAlign w:val="superscript"/>
          </w:rPr>
          <w:t>8</w:t>
        </w:r>
      </w:fldSimple>
      <w:r>
        <w:t xml:space="preserve">.</w:t>
      </w:r>
    </w:p>
    <w:p>
      <w:pPr>
        <w:pStyle w:val="BodyText"/>
      </w:pPr>
      <w:r>
        <w:t xml:space="preserve">The computational intensity of this workflow is summarized in Table 4.1. Each Greek requires a distinct mathematical operation on every option: delta demands a first derivative of the pricing function with respect to the underlying price; gamma requires a second derivative, typically approximated via finite differences; theta measures time decay, calling for partial differentiation against time to expiration; and vega captures sensitivity to implied volatility. Beyond the Greeks themselves, portfolio P&amp;L must be aggregated across all positions in real time, and hedge ratios must be updated through ordinary least squares regression or eigenvector decomposition on a rolling window of historical data.</w:t>
      </w:r>
    </w:p>
    <w:p>
      <w:pPr>
        <w:pStyle w:val="BodyText"/>
      </w:pPr>
      <w:r>
        <w:rPr>
          <w:bCs/>
          <w:b/>
        </w:rPr>
        <w:t xml:space="preserve">Table 4.1: Greeks Computation Intensity per Tick for a 10,000-Series Options Book</w:t>
      </w:r>
    </w:p>
    <w:tbl>
      <w:tblPr>
        <w:tblStyle w:val="Table"/>
        <w:tblW w:type="pct" w:w="5000"/>
        <w:tblLook w:firstRow="1" w:lastRow="0" w:firstColumn="0" w:lastColumn="0" w:noHBand="0" w:noVBand="0" w:val="0020"/>
      </w:tblPr>
      <w:tblGrid>
        <w:gridCol w:w="1072"/>
        <w:gridCol w:w="1732"/>
        <w:gridCol w:w="3135"/>
        <w:gridCol w:w="1980"/>
      </w:tblGrid>
      <w:tr>
        <w:trPr>
          <w:tblHeader w:val="true"/>
        </w:trPr>
        <w:tc>
          <w:tcPr/>
          <w:p>
            <w:pPr>
              <w:pStyle w:val="Compact"/>
              <w:jc w:val="left"/>
            </w:pPr>
            <w:r>
              <w:t xml:space="preserve">Calculation</w:t>
            </w:r>
          </w:p>
        </w:tc>
        <w:tc>
          <w:tcPr/>
          <w:p>
            <w:pPr>
              <w:pStyle w:val="Compact"/>
              <w:jc w:val="left"/>
            </w:pPr>
            <w:r>
              <w:t xml:space="preserve">Operations per Tick</w:t>
            </w:r>
          </w:p>
        </w:tc>
        <w:tc>
          <w:tcPr/>
          <w:p>
            <w:pPr>
              <w:pStyle w:val="Compact"/>
              <w:jc w:val="left"/>
            </w:pPr>
            <w:r>
              <w:t xml:space="preserve">Operations per Second (100 ticks/sec)</w:t>
            </w:r>
          </w:p>
        </w:tc>
        <w:tc>
          <w:tcPr/>
          <w:p>
            <w:pPr>
              <w:pStyle w:val="Compact"/>
              <w:jc w:val="left"/>
            </w:pPr>
            <w:r>
              <w:t xml:space="preserve">Mathematical Complexity</w:t>
            </w:r>
          </w:p>
        </w:tc>
      </w:tr>
      <w:tr>
        <w:tc>
          <w:tcPr/>
          <w:p>
            <w:pPr>
              <w:pStyle w:val="Compact"/>
              <w:jc w:val="left"/>
            </w:pPr>
            <w:r>
              <w:t xml:space="preserve">Delta (</w:t>
            </w:r>
            <m:oMath>
              <m:r>
                <m:rPr>
                  <m:sty m:val="p"/>
                </m:rPr>
                <m:t>∂</m:t>
              </m:r>
              <m:r>
                <m:t>V</m:t>
              </m:r>
              <m:r>
                <m:rPr>
                  <m:sty m:val="p"/>
                </m:rPr>
                <m:t>/</m:t>
              </m:r>
              <m:r>
                <m:rPr>
                  <m:sty m:val="p"/>
                </m:rPr>
                <m:t>∂</m:t>
              </m:r>
              <m:r>
                <m:t>S</m:t>
              </m:r>
            </m:oMath>
            <w:r>
              <w:t xml:space="preserve">)</w:t>
            </w:r>
          </w:p>
        </w:tc>
        <w:tc>
          <w:tcPr/>
          <w:p>
            <w:pPr>
              <w:pStyle w:val="Compact"/>
              <w:jc w:val="left"/>
            </w:pPr>
            <w:r>
              <w:t xml:space="preserve">10,000 Black-Scholes evaluations</w:t>
            </w:r>
          </w:p>
        </w:tc>
        <w:tc>
          <w:tcPr/>
          <w:p>
            <w:pPr>
              <w:pStyle w:val="Compact"/>
              <w:jc w:val="left"/>
            </w:pPr>
            <w:r>
              <w:t xml:space="preserve">1,000,000+ evaluations</w:t>
            </w:r>
          </w:p>
        </w:tc>
        <w:tc>
          <w:tcPr/>
          <w:p>
            <w:pPr>
              <w:pStyle w:val="Compact"/>
              <w:jc w:val="left"/>
            </w:pPr>
            <w:r>
              <w:t xml:space="preserve">Closed-form or numerical PDE</w:t>
            </w:r>
          </w:p>
        </w:tc>
      </w:tr>
      <w:tr>
        <w:tc>
          <w:tcPr/>
          <w:p>
            <w:pPr>
              <w:pStyle w:val="Compact"/>
              <w:jc w:val="left"/>
            </w:pPr>
            <w:r>
              <w:t xml:space="preserve">Gamma (</w:t>
            </w:r>
            <m:oMath>
              <m:sSup>
                <m:e>
                  <m:r>
                    <m:rPr>
                      <m:sty m:val="p"/>
                    </m:rPr>
                    <m:t>∂</m:t>
                  </m:r>
                </m:e>
                <m:sup>
                  <m:r>
                    <m:t>2</m:t>
                  </m:r>
                </m:sup>
              </m:sSup>
              <m:r>
                <m:t>V</m:t>
              </m:r>
              <m:r>
                <m:rPr>
                  <m:sty m:val="p"/>
                </m:rPr>
                <m:t>/</m:t>
              </m:r>
              <m:r>
                <m:rPr>
                  <m:sty m:val="p"/>
                </m:rPr>
                <m:t>∂</m:t>
              </m:r>
              <m:sSup>
                <m:e>
                  <m:r>
                    <m:t>S</m:t>
                  </m:r>
                </m:e>
                <m:sup>
                  <m:r>
                    <m:t>2</m:t>
                  </m:r>
                </m:sup>
              </m:sSup>
            </m:oMath>
            <w:r>
              <w:t xml:space="preserve">)</w:t>
            </w:r>
          </w:p>
        </w:tc>
        <w:tc>
          <w:tcPr/>
          <w:p>
            <w:pPr>
              <w:pStyle w:val="Compact"/>
              <w:jc w:val="left"/>
            </w:pPr>
            <w:r>
              <w:t xml:space="preserve">10,000 second-derivative evaluations</w:t>
            </w:r>
          </w:p>
        </w:tc>
        <w:tc>
          <w:tcPr/>
          <w:p>
            <w:pPr>
              <w:pStyle w:val="Compact"/>
              <w:jc w:val="left"/>
            </w:pPr>
            <w:r>
              <w:t xml:space="preserve">1,000,000+ calculations</w:t>
            </w:r>
          </w:p>
        </w:tc>
        <w:tc>
          <w:tcPr/>
          <w:p>
            <w:pPr>
              <w:pStyle w:val="Compact"/>
              <w:jc w:val="left"/>
            </w:pPr>
            <w:r>
              <w:t xml:space="preserve">Finite difference approximation</w:t>
            </w:r>
          </w:p>
        </w:tc>
      </w:tr>
      <w:tr>
        <w:tc>
          <w:tcPr/>
          <w:p>
            <w:pPr>
              <w:pStyle w:val="Compact"/>
              <w:jc w:val="left"/>
            </w:pPr>
            <w:r>
              <w:t xml:space="preserve">Theta (</w:t>
            </w:r>
            <m:oMath>
              <m:r>
                <m:rPr>
                  <m:sty m:val="p"/>
                </m:rPr>
                <m:t>∂</m:t>
              </m:r>
              <m:r>
                <m:t>V</m:t>
              </m:r>
              <m:r>
                <m:rPr>
                  <m:sty m:val="p"/>
                </m:rPr>
                <m:t>/</m:t>
              </m:r>
              <m:r>
                <m:rPr>
                  <m:sty m:val="p"/>
                </m:rPr>
                <m:t>∂</m:t>
              </m:r>
              <m:r>
                <m:t>t</m:t>
              </m:r>
            </m:oMath>
            <w:r>
              <w:t xml:space="preserve">)</w:t>
            </w:r>
          </w:p>
        </w:tc>
        <w:tc>
          <w:tcPr/>
          <w:p>
            <w:pPr>
              <w:pStyle w:val="Compact"/>
              <w:jc w:val="left"/>
            </w:pPr>
            <w:r>
              <w:t xml:space="preserve">10,000 time-decay evaluations</w:t>
            </w:r>
          </w:p>
        </w:tc>
        <w:tc>
          <w:tcPr/>
          <w:p>
            <w:pPr>
              <w:pStyle w:val="Compact"/>
              <w:jc w:val="left"/>
            </w:pPr>
            <w:r>
              <w:t xml:space="preserve">1,000,000+ evaluations</w:t>
            </w:r>
          </w:p>
        </w:tc>
        <w:tc>
          <w:tcPr/>
          <w:p>
            <w:pPr>
              <w:pStyle w:val="Compact"/>
              <w:jc w:val="left"/>
            </w:pPr>
            <w:r>
              <w:t xml:space="preserve">Time partial derivative</w:t>
            </w:r>
          </w:p>
        </w:tc>
      </w:tr>
      <w:tr>
        <w:tc>
          <w:tcPr/>
          <w:p>
            <w:pPr>
              <w:pStyle w:val="Compact"/>
              <w:jc w:val="left"/>
            </w:pPr>
            <w:r>
              <w:t xml:space="preserve">Vega (</w:t>
            </w:r>
            <m:oMath>
              <m:r>
                <m:rPr>
                  <m:sty m:val="p"/>
                </m:rPr>
                <m:t>∂</m:t>
              </m:r>
              <m:r>
                <m:t>V</m:t>
              </m:r>
              <m:r>
                <m:rPr>
                  <m:sty m:val="p"/>
                </m:rPr>
                <m:t>/</m:t>
              </m:r>
              <m:r>
                <m:rPr>
                  <m:sty m:val="p"/>
                </m:rPr>
                <m:t>∂</m:t>
              </m:r>
              <m:r>
                <m:t>σ</m:t>
              </m:r>
            </m:oMath>
            <w:r>
              <w:t xml:space="preserve">)</w:t>
            </w:r>
          </w:p>
        </w:tc>
        <w:tc>
          <w:tcPr/>
          <w:p>
            <w:pPr>
              <w:pStyle w:val="Compact"/>
              <w:jc w:val="left"/>
            </w:pPr>
            <w:r>
              <w:t xml:space="preserve">10,000 volatility sensitivity evaluations</w:t>
            </w:r>
          </w:p>
        </w:tc>
        <w:tc>
          <w:tcPr/>
          <w:p>
            <w:pPr>
              <w:pStyle w:val="Compact"/>
              <w:jc w:val="left"/>
            </w:pPr>
            <w:r>
              <w:t xml:space="preserve">1,000,000+ evaluations</w:t>
            </w:r>
          </w:p>
        </w:tc>
        <w:tc>
          <w:tcPr/>
          <w:p>
            <w:pPr>
              <w:pStyle w:val="Compact"/>
              <w:jc w:val="left"/>
            </w:pPr>
            <w:r>
              <w:t xml:space="preserve">Volatility partial derivative</w:t>
            </w:r>
          </w:p>
        </w:tc>
      </w:tr>
      <w:tr>
        <w:tc>
          <w:tcPr/>
          <w:p>
            <w:pPr>
              <w:pStyle w:val="Compact"/>
              <w:jc w:val="left"/>
            </w:pPr>
            <w:r>
              <w:t xml:space="preserve">Portfolio P&amp;L aggregation</w:t>
            </w:r>
          </w:p>
        </w:tc>
        <w:tc>
          <w:tcPr/>
          <w:p>
            <w:pPr>
              <w:pStyle w:val="Compact"/>
              <w:jc w:val="left"/>
            </w:pPr>
            <w:r>
              <w:t xml:space="preserve">Full position sweep</w:t>
            </w:r>
          </w:p>
        </w:tc>
        <w:tc>
          <w:tcPr/>
          <w:p>
            <w:pPr>
              <w:pStyle w:val="Compact"/>
              <w:jc w:val="left"/>
            </w:pPr>
            <w:r>
              <w:t xml:space="preserve">100 full-book sweeps</w:t>
            </w:r>
          </w:p>
        </w:tc>
        <w:tc>
          <w:tcPr/>
          <w:p>
            <w:pPr>
              <w:pStyle w:val="Compact"/>
              <w:jc w:val="left"/>
            </w:pPr>
            <w:r>
              <w:t xml:space="preserve">Weighted sum across all positions</w:t>
            </w:r>
          </w:p>
        </w:tc>
      </w:tr>
      <w:tr>
        <w:tc>
          <w:tcPr/>
          <w:p>
            <w:pPr>
              <w:pStyle w:val="Compact"/>
              <w:jc w:val="left"/>
            </w:pPr>
            <w:r>
              <w:t xml:space="preserve">Hedge ratio update</w:t>
            </w:r>
          </w:p>
        </w:tc>
        <w:tc>
          <w:tcPr/>
          <w:p>
            <w:pPr>
              <w:pStyle w:val="Compact"/>
              <w:jc w:val="left"/>
            </w:pPr>
            <w:r>
              <w:t xml:space="preserve">OLS regression or Johansen eigenvector</w:t>
            </w:r>
          </w:p>
        </w:tc>
        <w:tc>
          <w:tcPr/>
          <w:p>
            <w:pPr>
              <w:pStyle w:val="Compact"/>
              <w:jc w:val="left"/>
            </w:pPr>
            <w:r>
              <w:t xml:space="preserve">100 regression updates</w:t>
            </w:r>
          </w:p>
        </w:tc>
        <w:tc>
          <w:tcPr/>
          <w:p>
            <w:pPr>
              <w:pStyle w:val="Compact"/>
              <w:jc w:val="left"/>
            </w:pPr>
            <w:r>
              <w:t xml:space="preserve">Matrix inversion on rolling window</w:t>
            </w:r>
          </w:p>
        </w:tc>
      </w:tr>
      <w:tr>
        <w:tc>
          <w:tcPr/>
          <w:p>
            <w:pPr>
              <w:pStyle w:val="Compact"/>
              <w:jc w:val="left"/>
            </w:pPr>
            <w:r>
              <w:rPr>
                <w:bCs/>
                <w:b/>
              </w:rPr>
              <w:t xml:space="preserve">Total</w:t>
            </w:r>
          </w:p>
        </w:tc>
        <w:tc>
          <w:tcPr/>
          <w:p>
            <w:pPr>
              <w:pStyle w:val="Compact"/>
              <w:jc w:val="left"/>
            </w:pPr>
            <w:r>
              <w:rPr>
                <w:bCs/>
                <w:b/>
              </w:rPr>
              <w:t xml:space="preserve">40,000+ Greek evaluations</w:t>
            </w:r>
          </w:p>
        </w:tc>
        <w:tc>
          <w:tcPr/>
          <w:p>
            <w:pPr>
              <w:pStyle w:val="Compact"/>
              <w:jc w:val="left"/>
            </w:pPr>
            <w:r>
              <w:rPr>
                <w:bCs/>
                <w:b/>
              </w:rPr>
              <w:t xml:space="preserve">4,000,000+ Greek calculations</w:t>
            </w:r>
          </w:p>
        </w:tc>
        <w:tc>
          <w:tcPr/>
          <w:p>
            <w:pPr>
              <w:pStyle w:val="Compact"/>
              <w:jc w:val="left"/>
            </w:pPr>
            <w:r>
              <w:rPr>
                <w:bCs/>
                <w:b/>
              </w:rPr>
              <w:t xml:space="preserve">—</w:t>
            </w:r>
          </w:p>
        </w:tc>
      </w:tr>
    </w:tbl>
    <w:p>
      <w:pPr>
        <w:pStyle w:val="BodyText"/>
      </w:pPr>
      <w:r>
        <w:t xml:space="preserve">The sheer volume of these calculations—over four million individual Greek evaluations per second at 100 ticks per second—creates a bottleneck that constrains quote freshness. When the risk engine cannot keep pace with the market, the market maker continues to display stale prices while carrying risk that has not yet been quantified. This unseen inventory exposure, if left unhedged, can erode the narrow spreads that constitute market maker profitability. The central challenge is therefore not merely computational throughput but latency: the interval between a tick arriving and updated quotes being sent must be minimized to ensure that prices reflect current risk.</w:t>
      </w:r>
    </w:p>
    <w:bookmarkEnd w:id="64"/>
    <w:bookmarkStart w:id="68" w:name="the-greeks-calculation-engine"/>
    <w:p>
      <w:pPr>
        <w:pStyle w:val="Heading3"/>
      </w:pPr>
      <w:r>
        <w:t xml:space="preserve">4.2 The Greeks Calculation Engine</w:t>
      </w:r>
    </w:p>
    <w:p>
      <w:pPr>
        <w:pStyle w:val="FirstParagraph"/>
      </w:pPr>
      <w:r>
        <w:t xml:space="preserve">The current software-based approach to Greeks calculation imposes a latency penalty that scales linearly with book size. A CPU risk engine processing 10,000 Black-Scholes evaluations sequentially requires 1–5 milliseconds for a full portfolio update</w:t>
      </w:r>
      <w:r>
        <w:t xml:space="preserve"> </w:t>
      </w:r>
      <w:fldSimple w:instr="NOTEREF _Ref_Footnote_8 \h \f">
        <w:r>
          <w:rPr>
            <w:vertAlign w:val="superscript"/>
          </w:rPr>
          <w:t>8</w:t>
        </w:r>
      </w:fldSimple>
      <w:r>
        <w:t xml:space="preserve">. During that interval, the underlying may have moved again, rendering the newly computed Greeks stale before they are even applied. GPU acceleration has emerged as a partial remedy, achieving microsecond-level batch computation, yet kernel launch overhead and memory transfer latency prevent deterministic sub-microsecond response</w:t>
      </w:r>
      <w:r>
        <w:t xml:space="preserve"> </w:t>
      </w:r>
      <w:fldSimple w:instr="NOTEREF _Ref_Footnote_8 \h \f">
        <w:r>
          <w:rPr>
            <w:vertAlign w:val="superscript"/>
          </w:rPr>
          <w:t>8</w:t>
        </w:r>
      </w:fldSimple>
      <w:r>
        <w:t xml:space="preserve">.</w:t>
      </w:r>
    </w:p>
    <w:p>
      <w:pPr>
        <w:pStyle w:val="BodyText"/>
      </w:pPr>
      <w:r>
        <w:t xml:space="preserve">FPGA architecture offers a fundamentally different execution model. Rather than evaluating options one after another on a sequential processor, an FPGA-based Greeks engine instantiates thousands of parallel Black-Scholes pipelines—one per option series—on the same silicon fabric. Each pipeline computes delta, gamma, theta, and vega simultaneously for its assigned option in a single clock cycle. With modern FPGAs offering 780,000 lookup tables (LUTs) and 1,680 DSP slices on a single device, accommodating 10,000 parallel pricing cores is well within hardware capacity</w:t>
      </w:r>
      <w:r>
        <w:t xml:space="preserve"> </w:t>
      </w:r>
      <w:fldSimple w:instr="NOTEREF _Ref_Footnote_9 \h \f">
        <w:r>
          <w:rPr>
            <w:vertAlign w:val="superscript"/>
          </w:rPr>
          <w:t>9</w:t>
        </w:r>
      </w:fldSimple>
      <w:r>
        <w:t xml:space="preserve">. The resulting full-portfolio risk update completes in under 10 microseconds, compared with 1–5 milliseconds on CPU—a speedup of 100–500×</w:t>
      </w:r>
      <w:r>
        <w:t xml:space="preserve"> </w:t>
      </w:r>
      <w:fldSimple w:instr="NOTEREF _Ref_Footnote_8 \h \f">
        <w:r>
          <w:rPr>
            <w:vertAlign w:val="superscript"/>
          </w:rPr>
          <w:t>8</w:t>
        </w:r>
      </w:fldSimple>
      <w:r>
        <w:t xml:space="preserve">.</w:t>
      </w:r>
    </w:p>
    <w:p>
      <w:pPr>
        <w:pStyle w:val="BodyText"/>
      </w:pPr>
      <w:r>
        <w:t xml:space="preserve">The FPGA advantage extends beyond raw throughput to determinism. CPU-based systems suffer from operating system jitter—context switches, cache misses, and scheduler interrupts that introduce variability into execution time. During market stress, when the risk engine is most heavily loaded, these jitter effects worsen precisely when consistency is most needed. FPGA implementations operate with clock-cycle-predictable latency: identical inputs produce identical timing regardless of market conditions. This determinism is critical for gamma hedging, where the cost of delayed rebalancing accumulates quadratically with underlying price movement.</w:t>
      </w:r>
    </w:p>
    <w:p>
      <w:pPr>
        <w:pStyle w:val="BodyText"/>
      </w:pPr>
      <w:r>
        <w:t xml:space="preserve">For American options, which lack closed-form pricing solutions, the FPGA implements hardware-accelerated finite difference methods. The Crank-Nicolson or implicit finite difference scheme is unrolled into a spatial pipeline on the FPGA fabric, with each time step computed in parallel across the spatial grid. Early exercise conditions are evaluated at each node in hardware, enabling American-option Greeks at latencies comparable to their European counterparts. No software implementation can match this degree of parallelism because the von Neumann bottleneck—the sequential instruction fetch-decode-execute cycle—fundamentally limits CPU throughput regardless of core count.</w:t>
      </w:r>
    </w:p>
    <w:p>
      <w:pPr>
        <w:pStyle w:val="BodyText"/>
      </w:pPr>
      <w:r>
        <w:t xml:space="preserve">Figure 4.1 quantifies the latency differential across the six most critical inventory operations. The logarithmic scale is necessary because the speedup factors span three orders of magnitude.</w:t>
      </w:r>
    </w:p>
    <w:p>
      <w:pPr>
        <w:pStyle w:val="CaptionedFigure"/>
      </w:pPr>
      <w:r>
        <w:drawing>
          <wp:inline>
            <wp:extent cx="5334000" cy="3082417"/>
            <wp:effectExtent b="0" l="0" r="0" t="0"/>
            <wp:docPr descr="Inventory Operation Latency: CPU vs FPGA" title="" id="66" name="Picture"/>
            <a:graphic>
              <a:graphicData uri="http://schemas.openxmlformats.org/drawingml/2006/picture">
                <pic:pic>
                  <pic:nvPicPr>
                    <pic:cNvPr descr="fig_inventory_latency_comparison.png" id="67" name="Picture"/>
                    <pic:cNvPicPr>
                      <a:picLocks noChangeArrowheads="1" noChangeAspect="1"/>
                    </pic:cNvPicPr>
                  </pic:nvPicPr>
                  <pic:blipFill>
                    <a:blip r:embed="rId65"/>
                    <a:stretch>
                      <a:fillRect/>
                    </a:stretch>
                  </pic:blipFill>
                  <pic:spPr bwMode="auto">
                    <a:xfrm>
                      <a:off x="0" y="0"/>
                      <a:ext cx="5334000" cy="3082417"/>
                    </a:xfrm>
                    <a:prstGeom prst="rect">
                      <a:avLst/>
                    </a:prstGeom>
                    <a:noFill/>
                    <a:ln w="9525">
                      <a:noFill/>
                      <a:headEnd/>
                      <a:tailEnd/>
                    </a:ln>
                  </pic:spPr>
                </pic:pic>
              </a:graphicData>
            </a:graphic>
          </wp:inline>
        </w:drawing>
      </w:r>
    </w:p>
    <w:p>
      <w:pPr>
        <w:pStyle w:val="ImageCaption"/>
      </w:pPr>
      <w:r>
        <w:t xml:space="preserve">Inventory Operation Latency: CPU vs FPGA</w:t>
      </w:r>
    </w:p>
    <w:p>
      <w:pPr>
        <w:pStyle w:val="BodyText"/>
      </w:pPr>
      <w:r>
        <w:rPr>
          <w:bCs/>
          <w:b/>
        </w:rPr>
        <w:t xml:space="preserve">Figure 4.1:</w:t>
      </w:r>
      <w:r>
        <w:t xml:space="preserve"> </w:t>
      </w:r>
      <w:r>
        <w:t xml:space="preserve">Latency comparison for core inventory management operations. CPU figures represent optimized, kernel-bypass software implementations. FPGA figures represent published or projected hardware-accelerated performance based on demonstrated FPGA throughput in analogous trading workloads</w:t>
      </w:r>
      <w:r>
        <w:t xml:space="preserve"> </w:t>
      </w:r>
      <w:fldSimple w:instr="NOTEREF _Ref_Footnote_21 \h \f">
        <w:r>
          <w:rPr>
            <w:vertAlign w:val="superscript"/>
          </w:rPr>
          <w:t>21</w:t>
        </w:r>
      </w:fldSimple>
      <w:r>
        <w:t xml:space="preserve"> </w:t>
      </w:r>
      <w:fldSimple w:instr="NOTEREF _Ref_Footnote_3 \h \f">
        <w:r>
          <w:rPr>
            <w:vertAlign w:val="superscript"/>
          </w:rPr>
          <w:t>3</w:t>
        </w:r>
      </w:fldSimple>
      <w:r>
        <w:t xml:space="preserve"> </w:t>
      </w:r>
      <w:fldSimple w:instr="NOTEREF _Ref_Footnote_8 \h \f">
        <w:r>
          <w:rPr>
            <w:vertAlign w:val="superscript"/>
          </w:rPr>
          <w:t>8</w:t>
        </w:r>
      </w:fldSimple>
      <w:r>
        <w:t xml:space="preserve">. Speedup annotations indicate the ratio of CPU to FPGA latency for each operation.</w:t>
      </w:r>
    </w:p>
    <w:p>
      <w:pPr>
        <w:pStyle w:val="BodyText"/>
      </w:pPr>
      <w:r>
        <w:t xml:space="preserve">The most dramatic acceleration appears in Black-Scholes evaluation (50,000×), where a single FPGA clock cycle replaces hundreds of CPU instructions. P&amp;L mark-to-market achieves a 1,000,000× improvement because the FPGA performs streaming aggregation in hardware rather than iterating through a position database. Even the most modest acceleration—delta hedge order generation at 200×—reduces hedge latency from 100 microseconds to 500 nanoseconds, directly reducing the gamma cost of delayed rebalancing.</w:t>
      </w:r>
    </w:p>
    <w:bookmarkEnd w:id="68"/>
    <w:bookmarkStart w:id="69" w:name="auto-quoter-and-delta-hedge-acceleration"/>
    <w:p>
      <w:pPr>
        <w:pStyle w:val="Heading3"/>
      </w:pPr>
      <w:r>
        <w:t xml:space="preserve">4.3 Auto-Quoter and Delta Hedge Acceleration</w:t>
      </w:r>
    </w:p>
    <w:p>
      <w:pPr>
        <w:pStyle w:val="FirstParagraph"/>
      </w:pPr>
      <w:r>
        <w:t xml:space="preserve">The auto-quoter pipeline converts theoretical option prices into executable market quotes through a sequence of transformations: volatility surface interpolation feeds into a pricing model, which produces theoretical values that are adjusted for risk, skewed according to current inventory exposure, and formatted as bid-ask quotes for transmission to the exchange</w:t>
      </w:r>
      <w:r>
        <w:t xml:space="preserve"> </w:t>
      </w:r>
      <w:fldSimple w:instr="NOTEREF _Ref_Footnote_8 \h \f">
        <w:r>
          <w:rPr>
            <w:vertAlign w:val="superscript"/>
          </w:rPr>
          <w:t>8</w:t>
        </w:r>
      </w:fldSimple>
      <w:r>
        <w:t xml:space="preserve">. A market maker generating millions of quote updates per day across thousands of series requires this pipeline to execute with minimal incremental latency on every underlying price change.</w:t>
      </w:r>
    </w:p>
    <w:p>
      <w:pPr>
        <w:pStyle w:val="BodyText"/>
      </w:pPr>
      <w:r>
        <w:t xml:space="preserve">Implementing the complete auto-quoter in FPGA enables sub-microsecond quote updates when the underlying price changes. The volatility surface, stored in on-chip BRAM, is interpolated in hardware using bilinear or cubic spline logic. Each option’s theoretical price is computed by the parallel Black-Scholes cores described in Section 4.2. Risk adjustments—volatility spread overlays, minimum quote width enforcement, and exchange-specific formatting rules—are applied as combinational logic between the pricing core and the output serializer. Inventory skew, computed from real-time position data maintained in a second BRAM table, widens the bid-ask spread on the exposed side to discourage further accumulation.</w:t>
      </w:r>
    </w:p>
    <w:p>
      <w:pPr>
        <w:pStyle w:val="BodyText"/>
      </w:pPr>
      <w:r>
        <w:t xml:space="preserve">The delta hedge execution module operates as a tightly coupled pipeline stage downstream of the Greeks engine. When the aggregated portfolio delta exceeds a configurable threshold—typically expressed as a fraction of daily volume or a dollar-delta limit—the hedge trigger fires and an order is generated automatically. On FPGA, this trigger-to-order latency is sub-microsecond: the delta aggregation, threshold comparison, order sizing based on gamma exposure, and FIX message formatting execute in a continuous hardware pipeline. Academic research on FPGA-based trading systems has demonstrated order processing rates of 2 million orders per second with sub-500-nanosecond latency, compared with 1 million orders per second at 1 microsecond in software</w:t>
      </w:r>
      <w:r>
        <w:t xml:space="preserve"> </w:t>
      </w:r>
      <w:r>
        <w:rPr>
          <w:vertAlign w:val="superscript"/>
        </w:rPr>
        <w:footnoteReference w:id="37"/>
      </w:r>
      <w:r>
        <w:t xml:space="preserve">.</w:t>
      </w:r>
    </w:p>
    <w:p>
      <w:pPr>
        <w:pStyle w:val="BodyText"/>
      </w:pPr>
      <w:r>
        <w:t xml:space="preserve">Gamma scalping—the practice of capturing small directional moves before they accumulate into large delta drift—benefits disproportionately from this acceleration. Because gamma causes delta to change nonlinearly with underlying price, the cost of delayed hedging increases with the square of the price move. A hedge executed at 500 nanoseconds captures a move that, at 100-microsecond CPU latency, would have already generated material delta slippage. Market makers are typically net short gamma (short options, collecting theta)</w:t>
      </w:r>
      <w:r>
        <w:t xml:space="preserve"> </w:t>
      </w:r>
      <w:fldSimple w:instr="NOTEREF _Ref_Footnote_8 \h \f">
        <w:r>
          <w:rPr>
            <w:vertAlign w:val="superscript"/>
          </w:rPr>
          <w:t>8</w:t>
        </w:r>
      </w:fldSimple>
      <w:r>
        <w:t xml:space="preserve">, making rapid hedge execution essential to profitability: theta income must exceed gamma cost, and faster hedging directly reduces the latter.</w:t>
      </w:r>
    </w:p>
    <w:bookmarkEnd w:id="69"/>
    <w:bookmarkStart w:id="70" w:name="pl-and-risk-aggregation"/>
    <w:p>
      <w:pPr>
        <w:pStyle w:val="Heading3"/>
      </w:pPr>
      <w:r>
        <w:t xml:space="preserve">4.4 P&amp;L and Risk Aggregation</w:t>
      </w:r>
    </w:p>
    <w:p>
      <w:pPr>
        <w:pStyle w:val="FirstParagraph"/>
      </w:pPr>
      <w:r>
        <w:t xml:space="preserve">Streaming profit-and-loss calculation represents a third high-value FPGA target. Every trade, every tick, and every mark-to-market update triggers a position revaluation that must propagate through the firm’s risk systems. In software, this requires database writes, event processing, and recalculation—a chain that can extend to seconds for portfolio-level aggregation. FPGA-based P&amp;L engines instead perform streaming aggregation: trade events enter the FPGA via the same network interface that handles market data, position quantities update in BRAM, and mark-to-market values are recomputed using forward curves stored in on-chip memory.</w:t>
      </w:r>
    </w:p>
    <w:p>
      <w:pPr>
        <w:pStyle w:val="BodyText"/>
      </w:pPr>
      <w:r>
        <w:t xml:space="preserve">For delta-one swap hedges, Credit Support Annex (CSA) margining demands real-time exposure calculation. The counterparty’s collateral call depends on the current mark-to-market of all swaps under the agreement, which in turn depends on real-time underlying prices, forward curves, and foreign exchange rates. An FPGA maintaining these calculations in hardware can update exposure metrics with microsecond granularity, enabling proactive collateral management rather than reactive end-of-day reconciliation. This capability becomes operationally significant as firms transition to T+1 settlement cycles, where intraday liquidity forecasting and real-time collateral optimization compress what was previously an overnight batch process into a continuous real-time workflow</w:t>
      </w:r>
      <w:r>
        <w:t xml:space="preserve"> </w:t>
      </w:r>
      <w:fldSimple w:instr="NOTEREF _Ref_Footnote_34 \h \f">
        <w:r>
          <w:rPr>
            <w:vertAlign w:val="superscript"/>
          </w:rPr>
          <w:t>34</w:t>
        </w:r>
      </w:fldSimple>
      <w:r>
        <w:t xml:space="preserve">.</w:t>
      </w:r>
    </w:p>
    <w:bookmarkEnd w:id="70"/>
    <w:bookmarkStart w:id="71" w:name="academic-and-industry-evidence"/>
    <w:p>
      <w:pPr>
        <w:pStyle w:val="Heading3"/>
      </w:pPr>
      <w:r>
        <w:t xml:space="preserve">4.5 Academic and Industry Evidence</w:t>
      </w:r>
    </w:p>
    <w:p>
      <w:pPr>
        <w:pStyle w:val="FirstParagraph"/>
      </w:pPr>
      <w:r>
        <w:t xml:space="preserve">The application of FPGAs to inventory management is supported by a growing body of academic research, though direct deployments in options market making remain proprietary. Table 4.2 synthesizes the comparative performance characteristics across compute platforms for the workload profiles most relevant to inventory management.</w:t>
      </w:r>
    </w:p>
    <w:p>
      <w:pPr>
        <w:pStyle w:val="BodyText"/>
      </w:pPr>
      <w:r>
        <w:rPr>
          <w:bCs/>
          <w:b/>
        </w:rPr>
        <w:t xml:space="preserve">Table 4.2: FPGA vs CPU vs GPU for Inventory Management Workloads</w:t>
      </w:r>
    </w:p>
    <w:tbl>
      <w:tblPr>
        <w:tblStyle w:val="Table"/>
        <w:tblW w:type="pct" w:w="5000"/>
        <w:tblLook w:firstRow="1" w:lastRow="0" w:firstColumn="0" w:lastColumn="0" w:noHBand="0" w:noVBand="0" w:val="0020"/>
      </w:tblPr>
      <w:tblGrid>
        <w:gridCol w:w="1760"/>
        <w:gridCol w:w="2816"/>
        <w:gridCol w:w="880"/>
        <w:gridCol w:w="1056"/>
        <w:gridCol w:w="1408"/>
      </w:tblGrid>
      <w:tr>
        <w:trPr>
          <w:tblHeader w:val="true"/>
        </w:trPr>
        <w:tc>
          <w:tcPr/>
          <w:p>
            <w:pPr>
              <w:pStyle w:val="Compact"/>
              <w:jc w:val="left"/>
            </w:pPr>
            <w:r>
              <w:t xml:space="preserve">Workload</w:t>
            </w:r>
          </w:p>
        </w:tc>
        <w:tc>
          <w:tcPr/>
          <w:p>
            <w:pPr>
              <w:pStyle w:val="Compact"/>
              <w:jc w:val="left"/>
            </w:pPr>
            <w:r>
              <w:t xml:space="preserve">CPU (Optimized)</w:t>
            </w:r>
          </w:p>
        </w:tc>
        <w:tc>
          <w:tcPr/>
          <w:p>
            <w:pPr>
              <w:pStyle w:val="Compact"/>
              <w:jc w:val="left"/>
            </w:pPr>
            <w:r>
              <w:t xml:space="preserve">GPU</w:t>
            </w:r>
          </w:p>
        </w:tc>
        <w:tc>
          <w:tcPr/>
          <w:p>
            <w:pPr>
              <w:pStyle w:val="Compact"/>
              <w:jc w:val="left"/>
            </w:pPr>
            <w:r>
              <w:t xml:space="preserve">FPGA</w:t>
            </w:r>
          </w:p>
        </w:tc>
        <w:tc>
          <w:tcPr/>
          <w:p>
            <w:pPr>
              <w:pStyle w:val="Compact"/>
              <w:jc w:val="left"/>
            </w:pPr>
            <w:r>
              <w:t xml:space="preserve">Source</w:t>
            </w:r>
          </w:p>
        </w:tc>
      </w:tr>
      <w:tr>
        <w:tc>
          <w:tcPr/>
          <w:p>
            <w:pPr>
              <w:pStyle w:val="Compact"/>
              <w:jc w:val="left"/>
            </w:pPr>
            <w:r>
              <w:t xml:space="preserve">Greeks calculation (10,000 options)</w:t>
            </w:r>
          </w:p>
        </w:tc>
        <w:tc>
          <w:tcPr/>
          <w:p>
            <w:pPr>
              <w:pStyle w:val="Compact"/>
              <w:jc w:val="left"/>
            </w:pPr>
            <w:r>
              <w:t xml:space="preserve">1–5 ms</w:t>
            </w:r>
          </w:p>
        </w:tc>
        <w:tc>
          <w:tcPr/>
          <w:p>
            <w:pPr>
              <w:pStyle w:val="Compact"/>
              <w:jc w:val="left"/>
            </w:pPr>
            <w:r>
              <w:t xml:space="preserve">50–200 µs</w:t>
            </w:r>
          </w:p>
        </w:tc>
        <w:tc>
          <w:tcPr/>
          <w:p>
            <w:pPr>
              <w:pStyle w:val="Compact"/>
              <w:jc w:val="left"/>
            </w:pPr>
            <w:r>
              <w:t xml:space="preserve">&lt;10 µs</w:t>
            </w:r>
          </w:p>
        </w:tc>
        <w:tc>
          <w:tcPr/>
          <w:p>
            <w:pPr>
              <w:pStyle w:val="Compact"/>
              <w:jc w:val="left"/>
            </w:pPr>
            <w:fldSimple w:instr="NOTEREF _Ref_Footnote_8 \h \f">
              <w:r>
                <w:rPr>
                  <w:vertAlign w:val="superscript"/>
                </w:rPr>
                <w:t>8</w:t>
              </w:r>
            </w:fldSimple>
            <w:r>
              <w:t xml:space="preserve"> </w:t>
            </w:r>
            <w:fldSimple w:instr="NOTEREF _Ref_Footnote_21 \h \f">
              <w:r>
                <w:rPr>
                  <w:vertAlign w:val="superscript"/>
                </w:rPr>
                <w:t>21</w:t>
              </w:r>
            </w:fldSimple>
          </w:p>
        </w:tc>
      </w:tr>
      <w:tr>
        <w:tc>
          <w:tcPr/>
          <w:p>
            <w:pPr>
              <w:pStyle w:val="Compact"/>
              <w:jc w:val="left"/>
            </w:pPr>
            <w:r>
              <w:t xml:space="preserve">Black-Scholes evaluation (single)</w:t>
            </w:r>
          </w:p>
        </w:tc>
        <w:tc>
          <w:tcPr/>
          <w:p>
            <w:pPr>
              <w:pStyle w:val="Compact"/>
              <w:jc w:val="left"/>
            </w:pPr>
            <w:r>
              <w:t xml:space="preserve">~50 µs</w:t>
            </w:r>
          </w:p>
        </w:tc>
        <w:tc>
          <w:tcPr/>
          <w:p>
            <w:pPr>
              <w:pStyle w:val="Compact"/>
              <w:jc w:val="left"/>
            </w:pPr>
            <w:r>
              <w:t xml:space="preserve">~1 µs</w:t>
            </w:r>
          </w:p>
        </w:tc>
        <w:tc>
          <w:tcPr/>
          <w:p>
            <w:pPr>
              <w:pStyle w:val="Compact"/>
              <w:jc w:val="left"/>
            </w:pPr>
            <w:r>
              <w:t xml:space="preserve">~10 ns</w:t>
            </w:r>
          </w:p>
        </w:tc>
        <w:tc>
          <w:tcPr/>
          <w:p>
            <w:pPr>
              <w:pStyle w:val="Compact"/>
              <w:jc w:val="left"/>
            </w:pPr>
            <w:fldSimple w:instr="NOTEREF _Ref_Footnote_21 \h \f">
              <w:r>
                <w:rPr>
                  <w:vertAlign w:val="superscript"/>
                </w:rPr>
                <w:t>21</w:t>
              </w:r>
            </w:fldSimple>
          </w:p>
        </w:tc>
      </w:tr>
      <w:tr>
        <w:tc>
          <w:tcPr/>
          <w:p>
            <w:pPr>
              <w:pStyle w:val="Compact"/>
              <w:jc w:val="left"/>
            </w:pPr>
            <w:r>
              <w:t xml:space="preserve">Feed handler (FAST decoding)</w:t>
            </w:r>
          </w:p>
        </w:tc>
        <w:tc>
          <w:tcPr/>
          <w:p>
            <w:pPr>
              <w:pStyle w:val="Compact"/>
              <w:jc w:val="left"/>
            </w:pPr>
            <w:r>
              <w:t xml:space="preserve">4.1 µs (kernel bypass)</w:t>
            </w:r>
          </w:p>
        </w:tc>
        <w:tc>
          <w:tcPr/>
          <w:p>
            <w:pPr>
              <w:pStyle w:val="Compact"/>
              <w:jc w:val="left"/>
            </w:pPr>
            <w:r>
              <w:t xml:space="preserve">N/A</w:t>
            </w:r>
          </w:p>
        </w:tc>
        <w:tc>
          <w:tcPr/>
          <w:p>
            <w:pPr>
              <w:pStyle w:val="Compact"/>
              <w:jc w:val="left"/>
            </w:pPr>
            <w:r>
              <w:t xml:space="preserve">2.6 µs</w:t>
            </w:r>
          </w:p>
        </w:tc>
        <w:tc>
          <w:tcPr/>
          <w:p>
            <w:pPr>
              <w:pStyle w:val="Compact"/>
              <w:jc w:val="left"/>
            </w:pPr>
            <w:fldSimple w:instr="NOTEREF _Ref_Footnote_3 \h \f">
              <w:r>
                <w:rPr>
                  <w:vertAlign w:val="superscript"/>
                </w:rPr>
                <w:t>3</w:t>
              </w:r>
            </w:fldSimple>
          </w:p>
        </w:tc>
      </w:tr>
      <w:tr>
        <w:tc>
          <w:tcPr/>
          <w:p>
            <w:pPr>
              <w:pStyle w:val="Compact"/>
              <w:jc w:val="left"/>
            </w:pPr>
            <w:r>
              <w:t xml:space="preserve">Order book update</w:t>
            </w:r>
          </w:p>
        </w:tc>
        <w:tc>
          <w:tcPr/>
          <w:p>
            <w:pPr>
              <w:pStyle w:val="Compact"/>
              <w:jc w:val="left"/>
            </w:pPr>
            <w:r>
              <w:t xml:space="preserve">10–20 µs</w:t>
            </w:r>
          </w:p>
        </w:tc>
        <w:tc>
          <w:tcPr/>
          <w:p>
            <w:pPr>
              <w:pStyle w:val="Compact"/>
              <w:jc w:val="left"/>
            </w:pPr>
            <w:r>
              <w:t xml:space="preserve">N/A</w:t>
            </w:r>
          </w:p>
        </w:tc>
        <w:tc>
          <w:tcPr/>
          <w:p>
            <w:pPr>
              <w:pStyle w:val="Compact"/>
              <w:jc w:val="left"/>
            </w:pPr>
            <w:r>
              <w:t xml:space="preserve">4 ns</w:t>
            </w:r>
          </w:p>
        </w:tc>
        <w:tc>
          <w:tcPr/>
          <w:p>
            <w:pPr>
              <w:pStyle w:val="Compact"/>
              <w:jc w:val="left"/>
            </w:pPr>
            <w:fldSimple w:instr="NOTEREF _Ref_Footnote_21 \h \f">
              <w:r>
                <w:rPr>
                  <w:vertAlign w:val="superscript"/>
                </w:rPr>
                <w:t>21</w:t>
              </w:r>
            </w:fldSimple>
          </w:p>
        </w:tc>
      </w:tr>
      <w:tr>
        <w:tc>
          <w:tcPr/>
          <w:p>
            <w:pPr>
              <w:pStyle w:val="Compact"/>
              <w:jc w:val="left"/>
            </w:pPr>
            <w:r>
              <w:t xml:space="preserve">Tick-to-trade (full pipeline)</w:t>
            </w:r>
          </w:p>
        </w:tc>
        <w:tc>
          <w:tcPr/>
          <w:p>
            <w:pPr>
              <w:pStyle w:val="Compact"/>
              <w:jc w:val="left"/>
            </w:pPr>
            <w:r>
              <w:t xml:space="preserve">10–50 µs</w:t>
            </w:r>
          </w:p>
        </w:tc>
        <w:tc>
          <w:tcPr/>
          <w:p>
            <w:pPr>
              <w:pStyle w:val="Compact"/>
              <w:jc w:val="left"/>
            </w:pPr>
            <w:r>
              <w:t xml:space="preserve">1–2 µs</w:t>
            </w:r>
          </w:p>
        </w:tc>
        <w:tc>
          <w:tcPr/>
          <w:p>
            <w:pPr>
              <w:pStyle w:val="Compact"/>
              <w:jc w:val="left"/>
            </w:pPr>
            <w:r>
              <w:t xml:space="preserve">350 ns</w:t>
            </w:r>
          </w:p>
        </w:tc>
        <w:tc>
          <w:tcPr/>
          <w:p>
            <w:pPr>
              <w:pStyle w:val="Compact"/>
              <w:jc w:val="left"/>
            </w:pPr>
            <w:fldSimple w:instr="NOTEREF _Ref_Footnote_21 \h \f">
              <w:r>
                <w:rPr>
                  <w:vertAlign w:val="superscript"/>
                </w:rPr>
                <w:t>21</w:t>
              </w:r>
            </w:fldSimple>
            <w:r>
              <w:t xml:space="preserve"> </w:t>
            </w:r>
            <w:fldSimple w:instr="NOTEREF _Ref_Footnote_22 \h \f">
              <w:r>
                <w:rPr>
                  <w:vertAlign w:val="superscript"/>
                </w:rPr>
                <w:t>22</w:t>
              </w:r>
            </w:fldSimple>
          </w:p>
        </w:tc>
      </w:tr>
      <w:tr>
        <w:tc>
          <w:tcPr/>
          <w:p>
            <w:pPr>
              <w:pStyle w:val="Compact"/>
              <w:jc w:val="left"/>
            </w:pPr>
            <w:r>
              <w:t xml:space="preserve">Queue/risk check operations</w:t>
            </w:r>
          </w:p>
        </w:tc>
        <w:tc>
          <w:tcPr/>
          <w:p>
            <w:pPr>
              <w:pStyle w:val="Compact"/>
              <w:jc w:val="left"/>
            </w:pPr>
            <w:r>
              <w:t xml:space="preserve">1–2 µs</w:t>
            </w:r>
          </w:p>
        </w:tc>
        <w:tc>
          <w:tcPr/>
          <w:p>
            <w:pPr>
              <w:pStyle w:val="Compact"/>
              <w:jc w:val="left"/>
            </w:pPr>
            <w:r>
              <w:t xml:space="preserve">N/A</w:t>
            </w:r>
          </w:p>
        </w:tc>
        <w:tc>
          <w:tcPr/>
          <w:p>
            <w:pPr>
              <w:pStyle w:val="Compact"/>
              <w:jc w:val="left"/>
            </w:pPr>
            <w:r>
              <w:t xml:space="preserve">50 ns</w:t>
            </w:r>
          </w:p>
        </w:tc>
        <w:tc>
          <w:tcPr/>
          <w:p>
            <w:pPr>
              <w:pStyle w:val="Compact"/>
              <w:jc w:val="left"/>
            </w:pPr>
            <w:fldSimple w:instr="NOTEREF _Ref_Footnote_21 \h \f">
              <w:r>
                <w:rPr>
                  <w:vertAlign w:val="superscript"/>
                </w:rPr>
                <w:t>21</w:t>
              </w:r>
            </w:fldSimple>
          </w:p>
        </w:tc>
      </w:tr>
      <w:tr>
        <w:tc>
          <w:tcPr/>
          <w:p>
            <w:pPr>
              <w:pStyle w:val="Compact"/>
              <w:jc w:val="left"/>
            </w:pPr>
            <w:r>
              <w:t xml:space="preserve">ML inference (LSTM)</w:t>
            </w:r>
          </w:p>
        </w:tc>
        <w:tc>
          <w:tcPr/>
          <w:p>
            <w:pPr>
              <w:pStyle w:val="Compact"/>
              <w:jc w:val="left"/>
            </w:pPr>
            <w:r>
              <w:t xml:space="preserve">10–50 ms</w:t>
            </w:r>
          </w:p>
        </w:tc>
        <w:tc>
          <w:tcPr/>
          <w:p>
            <w:pPr>
              <w:pStyle w:val="Compact"/>
              <w:jc w:val="left"/>
            </w:pPr>
            <w:r>
              <w:t xml:space="preserve">35.2 µs</w:t>
            </w:r>
          </w:p>
        </w:tc>
        <w:tc>
          <w:tcPr/>
          <w:p>
            <w:pPr>
              <w:pStyle w:val="Compact"/>
              <w:jc w:val="left"/>
            </w:pPr>
            <w:r>
              <w:t xml:space="preserve">24 µs</w:t>
            </w:r>
          </w:p>
        </w:tc>
        <w:tc>
          <w:tcPr/>
          <w:p>
            <w:pPr>
              <w:pStyle w:val="Compact"/>
              <w:jc w:val="left"/>
            </w:pPr>
            <w:r>
              <w:rPr>
                <w:vertAlign w:val="superscript"/>
              </w:rPr>
              <w:footnoteReference w:id="38"/>
            </w:r>
            <w:r>
              <w:t xml:space="preserve"> </w:t>
            </w:r>
            <w:r>
              <w:rPr>
                <w:vertAlign w:val="superscript"/>
              </w:rPr>
              <w:footnoteReference w:id="39"/>
            </w:r>
          </w:p>
        </w:tc>
      </w:tr>
      <w:tr>
        <w:tc>
          <w:tcPr/>
          <w:p>
            <w:pPr>
              <w:pStyle w:val="Compact"/>
              <w:jc w:val="left"/>
            </w:pPr>
            <w:r>
              <w:t xml:space="preserve">Power consumption (per unit)</w:t>
            </w:r>
          </w:p>
        </w:tc>
        <w:tc>
          <w:tcPr/>
          <w:p>
            <w:pPr>
              <w:pStyle w:val="Compact"/>
              <w:jc w:val="left"/>
            </w:pPr>
            <w:r>
              <w:t xml:space="preserve">200–300W</w:t>
            </w:r>
          </w:p>
        </w:tc>
        <w:tc>
          <w:tcPr/>
          <w:p>
            <w:pPr>
              <w:pStyle w:val="Compact"/>
              <w:jc w:val="left"/>
            </w:pPr>
            <w:r>
              <w:t xml:space="preserve">300–400W</w:t>
            </w:r>
          </w:p>
        </w:tc>
        <w:tc>
          <w:tcPr/>
          <w:p>
            <w:pPr>
              <w:pStyle w:val="Compact"/>
              <w:jc w:val="left"/>
            </w:pPr>
            <w:r>
              <w:t xml:space="preserve">25–75W</w:t>
            </w:r>
          </w:p>
        </w:tc>
        <w:tc>
          <w:tcPr/>
          <w:p>
            <w:pPr>
              <w:pStyle w:val="Compact"/>
              <w:jc w:val="left"/>
            </w:pPr>
            <w:fldSimple w:instr="NOTEREF _Ref_Footnote_9 \h \f">
              <w:r>
                <w:rPr>
                  <w:vertAlign w:val="superscript"/>
                </w:rPr>
                <w:t>9</w:t>
              </w:r>
            </w:fldSimple>
            <w:r>
              <w:t xml:space="preserve"> </w:t>
            </w:r>
            <w:fldSimple w:instr="NOTEREF _Ref_Footnote_38 \h \f">
              <w:r>
                <w:rPr>
                  <w:vertAlign w:val="superscript"/>
                </w:rPr>
                <w:t>38</w:t>
              </w:r>
            </w:fldSimple>
          </w:p>
        </w:tc>
      </w:tr>
      <w:tr>
        <w:tc>
          <w:tcPr/>
          <w:p>
            <w:pPr>
              <w:pStyle w:val="Compact"/>
              <w:jc w:val="left"/>
            </w:pPr>
            <w:r>
              <w:t xml:space="preserve">Latency determinism</w:t>
            </w:r>
          </w:p>
        </w:tc>
        <w:tc>
          <w:tcPr/>
          <w:p>
            <w:pPr>
              <w:pStyle w:val="Compact"/>
              <w:jc w:val="left"/>
            </w:pPr>
            <w:r>
              <w:t xml:space="preserve">Variable (OS jitter)</w:t>
            </w:r>
          </w:p>
        </w:tc>
        <w:tc>
          <w:tcPr/>
          <w:p>
            <w:pPr>
              <w:pStyle w:val="Compact"/>
              <w:jc w:val="left"/>
            </w:pPr>
            <w:r>
              <w:t xml:space="preserve">Variable (kernel launch)</w:t>
            </w:r>
          </w:p>
        </w:tc>
        <w:tc>
          <w:tcPr/>
          <w:p>
            <w:pPr>
              <w:pStyle w:val="Compact"/>
              <w:jc w:val="left"/>
            </w:pPr>
            <w:r>
              <w:t xml:space="preserve">Clock-cycle exact</w:t>
            </w:r>
          </w:p>
        </w:tc>
        <w:tc>
          <w:tcPr/>
          <w:p>
            <w:pPr>
              <w:pStyle w:val="Compact"/>
              <w:jc w:val="left"/>
            </w:pPr>
            <w:fldSimple w:instr="NOTEREF _Ref_Footnote_1 \h \f">
              <w:r>
                <w:rPr>
                  <w:vertAlign w:val="superscript"/>
                </w:rPr>
                <w:t>1</w:t>
              </w:r>
            </w:fldSimple>
            <w:r>
              <w:t xml:space="preserve"> </w:t>
            </w:r>
            <w:fldSimple w:instr="NOTEREF _Ref_Footnote_22 \h \f">
              <w:r>
                <w:rPr>
                  <w:vertAlign w:val="superscript"/>
                </w:rPr>
                <w:t>22</w:t>
              </w:r>
            </w:fldSimple>
          </w:p>
        </w:tc>
      </w:tr>
    </w:tbl>
    <w:p>
      <w:pPr>
        <w:pStyle w:val="BodyText"/>
      </w:pPr>
      <w:r>
        <w:t xml:space="preserve">The FPGA delivers superior latency across every dimension relevant to inventory management, with the gap most pronounced for deterministic, repetitive calculations like Greeks evaluation and order book maintenance. GPU performance is competitive for floating-point-intensive workloads such as Monte Carlo simulation, where massive parallelism in tensor cores offsets kernel launch overhead. For the integer and fixed-point arithmetic that dominates Greeks calculation, however, the FPGA’s fine-grained parallelism and absence of memory hierarchy bottlenecks produce lower sustained latency.</w:t>
      </w:r>
    </w:p>
    <w:p>
      <w:pPr>
        <w:pStyle w:val="BodyText"/>
      </w:pPr>
      <w:r>
        <w:t xml:space="preserve">Three academic contributions are particularly relevant to inventory management acceleration. Puranik et al. (2022) demonstrated an FPGA-based key-value store managing 40 million client keys at 4 million searches per second, establishing the feasibility of hardware-accelerated position tracking at the scale required by modern market makers</w:t>
      </w:r>
      <w:r>
        <w:t xml:space="preserve"> </w:t>
      </w:r>
      <w:r>
        <w:rPr>
          <w:vertAlign w:val="superscript"/>
        </w:rPr>
        <w:footnoteReference w:id="40"/>
      </w:r>
      <w:r>
        <w:t xml:space="preserve">. While their implementation targeted a general trading data structure rather than option Greeks specifically, the architecture—parallel hash table lookups in BRAM with pipelined query processing—maps directly onto the position lookup and inventory skew computation required by auto-quoters.</w:t>
      </w:r>
    </w:p>
    <w:p>
      <w:pPr>
        <w:pStyle w:val="BodyText"/>
      </w:pPr>
      <w:r>
        <w:t xml:space="preserve">Verma (2026) proposed an AI-integrated FPGA architecture for market making that incorporates reinforcement learning within the hardware pipeline, enabling adaptive quoting strategies in volatile environments</w:t>
      </w:r>
      <w:r>
        <w:t xml:space="preserve"> </w:t>
      </w:r>
      <w:fldSimple w:instr="NOTEREF _Ref_Footnote_5 \h \f">
        <w:r>
          <w:rPr>
            <w:vertAlign w:val="superscript"/>
          </w:rPr>
          <w:t>5</w:t>
        </w:r>
      </w:fldSimple>
      <w:r>
        <w:t xml:space="preserve">. This work bridges the gap between deterministic FPGA logic and the adaptive behavior required when volatility regimes shift: the FPGA maintains low-latency Greeks and quote generation while the embedded learning module adjusts inventory skew parameters in response to market conditions.</w:t>
      </w:r>
    </w:p>
    <w:p>
      <w:pPr>
        <w:pStyle w:val="BodyText"/>
      </w:pPr>
      <w:r>
        <w:t xml:space="preserve">Li et al. (2026) presented a two-level pipelined FPGA architecture for pre-trade risk checks in high-frequency trading, achieving deterministic risk validation at wire speed</w:t>
      </w:r>
      <w:r>
        <w:t xml:space="preserve"> </w:t>
      </w:r>
      <w:r>
        <w:rPr>
          <w:vertAlign w:val="superscript"/>
        </w:rPr>
        <w:footnoteReference w:id="41"/>
      </w:r>
      <w:r>
        <w:t xml:space="preserve">. Their architecture—comprising a coarse-grained stage for position limit checks and a fine-grained stage for symbol-specific exposure validation—can be adapted for inventory management by replacing risk limits with delta and gamma thresholds. The 180-nanosecond base latency reported for FPGA risk checks suggests that hedge trigger evaluation would add negligible overhead to the Greeks computation pipeline</w:t>
      </w:r>
      <w:r>
        <w:t xml:space="preserve"> </w:t>
      </w:r>
      <w:r>
        <w:rPr>
          <w:vertAlign w:val="superscript"/>
        </w:rPr>
        <w:footnoteReference w:id="42"/>
      </w:r>
      <w:r>
        <w:t xml:space="preserve">.</w:t>
      </w:r>
    </w:p>
    <w:p>
      <w:pPr>
        <w:pStyle w:val="BodyText"/>
      </w:pPr>
      <w:r>
        <w:t xml:space="preserve">Table 4.3 documents the position update frequencies and latency requirements that define the operational constraints within which these accelerations must operate.</w:t>
      </w:r>
    </w:p>
    <w:p>
      <w:pPr>
        <w:pStyle w:val="BodyText"/>
      </w:pPr>
      <w:r>
        <w:rPr>
          <w:bCs/>
          <w:b/>
        </w:rPr>
        <w:t xml:space="preserve">Table 4.3: Position Update Frequencies and Latency Budgets in Options Market Making</w:t>
      </w:r>
    </w:p>
    <w:tbl>
      <w:tblPr>
        <w:tblStyle w:val="Table"/>
        <w:tblW w:type="pct" w:w="5000"/>
        <w:tblLook w:firstRow="1" w:lastRow="0" w:firstColumn="0" w:lastColumn="0" w:noHBand="0" w:noVBand="0" w:val="0020"/>
      </w:tblPr>
      <w:tblGrid>
        <w:gridCol w:w="870"/>
        <w:gridCol w:w="1566"/>
        <w:gridCol w:w="1653"/>
        <w:gridCol w:w="1740"/>
        <w:gridCol w:w="2088"/>
      </w:tblGrid>
      <w:tr>
        <w:trPr>
          <w:tblHeader w:val="true"/>
        </w:trPr>
        <w:tc>
          <w:tcPr/>
          <w:p>
            <w:pPr>
              <w:pStyle w:val="Compact"/>
              <w:jc w:val="left"/>
            </w:pPr>
            <w:r>
              <w:t xml:space="preserve">Activity</w:t>
            </w:r>
          </w:p>
        </w:tc>
        <w:tc>
          <w:tcPr/>
          <w:p>
            <w:pPr>
              <w:pStyle w:val="Compact"/>
              <w:jc w:val="left"/>
            </w:pPr>
            <w:r>
              <w:t xml:space="preserve">Trigger Frequency</w:t>
            </w:r>
          </w:p>
        </w:tc>
        <w:tc>
          <w:tcPr/>
          <w:p>
            <w:pPr>
              <w:pStyle w:val="Compact"/>
              <w:jc w:val="left"/>
            </w:pPr>
            <w:r>
              <w:t xml:space="preserve">CPU Latency Budget</w:t>
            </w:r>
          </w:p>
        </w:tc>
        <w:tc>
          <w:tcPr/>
          <w:p>
            <w:pPr>
              <w:pStyle w:val="Compact"/>
              <w:jc w:val="left"/>
            </w:pPr>
            <w:r>
              <w:t xml:space="preserve">FPGA Latency Budget</w:t>
            </w:r>
          </w:p>
        </w:tc>
        <w:tc>
          <w:tcPr/>
          <w:p>
            <w:pPr>
              <w:pStyle w:val="Compact"/>
              <w:jc w:val="left"/>
            </w:pPr>
            <w:r>
              <w:t xml:space="preserve">Business Impact of Delay</w:t>
            </w:r>
          </w:p>
        </w:tc>
      </w:tr>
      <w:tr>
        <w:tc>
          <w:tcPr/>
          <w:p>
            <w:pPr>
              <w:pStyle w:val="Compact"/>
              <w:jc w:val="left"/>
            </w:pPr>
            <w:r>
              <w:t xml:space="preserve">Quote update after underlying tick</w:t>
            </w:r>
          </w:p>
        </w:tc>
        <w:tc>
          <w:tcPr/>
          <w:p>
            <w:pPr>
              <w:pStyle w:val="Compact"/>
              <w:jc w:val="left"/>
            </w:pPr>
            <w:r>
              <w:t xml:space="preserve">Every tick (up to 100×/sec)</w:t>
            </w:r>
          </w:p>
        </w:tc>
        <w:tc>
          <w:tcPr/>
          <w:p>
            <w:pPr>
              <w:pStyle w:val="Compact"/>
              <w:jc w:val="left"/>
            </w:pPr>
            <w:r>
              <w:t xml:space="preserve">1–5 ms</w:t>
            </w:r>
          </w:p>
        </w:tc>
        <w:tc>
          <w:tcPr/>
          <w:p>
            <w:pPr>
              <w:pStyle w:val="Compact"/>
              <w:jc w:val="left"/>
            </w:pPr>
            <w:r>
              <w:t xml:space="preserve">100–500 µs</w:t>
            </w:r>
          </w:p>
        </w:tc>
        <w:tc>
          <w:tcPr/>
          <w:p>
            <w:pPr>
              <w:pStyle w:val="Compact"/>
              <w:jc w:val="left"/>
            </w:pPr>
            <w:r>
              <w:t xml:space="preserve">Stale quotes; adverse selection</w:t>
            </w:r>
          </w:p>
        </w:tc>
      </w:tr>
      <w:tr>
        <w:tc>
          <w:tcPr/>
          <w:p>
            <w:pPr>
              <w:pStyle w:val="Compact"/>
              <w:jc w:val="left"/>
            </w:pPr>
            <w:r>
              <w:t xml:space="preserve">Greeks recalculation (full book)</w:t>
            </w:r>
          </w:p>
        </w:tc>
        <w:tc>
          <w:tcPr/>
          <w:p>
            <w:pPr>
              <w:pStyle w:val="Compact"/>
              <w:jc w:val="left"/>
            </w:pPr>
            <w:r>
              <w:t xml:space="preserve">Per tick or 10–100×/sec</w:t>
            </w:r>
          </w:p>
        </w:tc>
        <w:tc>
          <w:tcPr/>
          <w:p>
            <w:pPr>
              <w:pStyle w:val="Compact"/>
              <w:jc w:val="left"/>
            </w:pPr>
            <w:r>
              <w:t xml:space="preserve">1–5 ms</w:t>
            </w:r>
          </w:p>
        </w:tc>
        <w:tc>
          <w:tcPr/>
          <w:p>
            <w:pPr>
              <w:pStyle w:val="Compact"/>
              <w:jc w:val="left"/>
            </w:pPr>
            <w:r>
              <w:t xml:space="preserve">&lt;10 µs</w:t>
            </w:r>
          </w:p>
        </w:tc>
        <w:tc>
          <w:tcPr/>
          <w:p>
            <w:pPr>
              <w:pStyle w:val="Compact"/>
              <w:jc w:val="left"/>
            </w:pPr>
            <w:r>
              <w:t xml:space="preserve">Unhedged exposure; gamma cost</w:t>
            </w:r>
          </w:p>
        </w:tc>
      </w:tr>
      <w:tr>
        <w:tc>
          <w:tcPr/>
          <w:p>
            <w:pPr>
              <w:pStyle w:val="Compact"/>
              <w:jc w:val="left"/>
            </w:pPr>
            <w:r>
              <w:t xml:space="preserve">P&amp;L mark-to-market</w:t>
            </w:r>
          </w:p>
        </w:tc>
        <w:tc>
          <w:tcPr/>
          <w:p>
            <w:pPr>
              <w:pStyle w:val="Compact"/>
              <w:jc w:val="left"/>
            </w:pPr>
            <w:r>
              <w:t xml:space="preserve">Continuous (streaming)</w:t>
            </w:r>
          </w:p>
        </w:tc>
        <w:tc>
          <w:tcPr/>
          <w:p>
            <w:pPr>
              <w:pStyle w:val="Compact"/>
              <w:jc w:val="left"/>
            </w:pPr>
            <w:r>
              <w:t xml:space="preserve">&lt;1 s</w:t>
            </w:r>
          </w:p>
        </w:tc>
        <w:tc>
          <w:tcPr/>
          <w:p>
            <w:pPr>
              <w:pStyle w:val="Compact"/>
              <w:jc w:val="left"/>
            </w:pPr>
            <w:r>
              <w:t xml:space="preserve">&lt;1 µs</w:t>
            </w:r>
          </w:p>
        </w:tc>
        <w:tc>
          <w:tcPr/>
          <w:p>
            <w:pPr>
              <w:pStyle w:val="Compact"/>
              <w:jc w:val="left"/>
            </w:pPr>
            <w:r>
              <w:t xml:space="preserve">Inaccurate margin; collateral shortfall</w:t>
            </w:r>
          </w:p>
        </w:tc>
      </w:tr>
      <w:tr>
        <w:tc>
          <w:tcPr/>
          <w:p>
            <w:pPr>
              <w:pStyle w:val="Compact"/>
              <w:jc w:val="left"/>
            </w:pPr>
            <w:r>
              <w:t xml:space="preserve">Inventory rebalancing (passive)</w:t>
            </w:r>
          </w:p>
        </w:tc>
        <w:tc>
          <w:tcPr/>
          <w:p>
            <w:pPr>
              <w:pStyle w:val="Compact"/>
              <w:jc w:val="left"/>
            </w:pPr>
            <w:r>
              <w:t xml:space="preserve">Every 5 minutes</w:t>
            </w:r>
          </w:p>
        </w:tc>
        <w:tc>
          <w:tcPr/>
          <w:p>
            <w:pPr>
              <w:pStyle w:val="Compact"/>
              <w:jc w:val="left"/>
            </w:pPr>
            <w:r>
              <w:t xml:space="preserve">N/A (batch)</w:t>
            </w:r>
          </w:p>
        </w:tc>
        <w:tc>
          <w:tcPr/>
          <w:p>
            <w:pPr>
              <w:pStyle w:val="Compact"/>
              <w:jc w:val="left"/>
            </w:pPr>
            <w:r>
              <w:t xml:space="preserve">N/A (batch)</w:t>
            </w:r>
          </w:p>
        </w:tc>
        <w:tc>
          <w:tcPr/>
          <w:p>
            <w:pPr>
              <w:pStyle w:val="Compact"/>
              <w:jc w:val="left"/>
            </w:pPr>
            <w:r>
              <w:t xml:space="preserve">Slow mean reversion; overnight risk</w:t>
            </w:r>
          </w:p>
        </w:tc>
      </w:tr>
      <w:tr>
        <w:tc>
          <w:tcPr/>
          <w:p>
            <w:pPr>
              <w:pStyle w:val="Compact"/>
              <w:jc w:val="left"/>
            </w:pPr>
            <w:r>
              <w:t xml:space="preserve">Delta hedge execution</w:t>
            </w:r>
          </w:p>
        </w:tc>
        <w:tc>
          <w:tcPr/>
          <w:p>
            <w:pPr>
              <w:pStyle w:val="Compact"/>
              <w:jc w:val="left"/>
            </w:pPr>
            <w:r>
              <w:t xml:space="preserve">Threshold breach (immediate)</w:t>
            </w:r>
          </w:p>
        </w:tc>
        <w:tc>
          <w:tcPr/>
          <w:p>
            <w:pPr>
              <w:pStyle w:val="Compact"/>
              <w:jc w:val="left"/>
            </w:pPr>
            <w:r>
              <w:t xml:space="preserve">100 µs</w:t>
            </w:r>
          </w:p>
        </w:tc>
        <w:tc>
          <w:tcPr/>
          <w:p>
            <w:pPr>
              <w:pStyle w:val="Compact"/>
              <w:jc w:val="left"/>
            </w:pPr>
            <w:r>
              <w:t xml:space="preserve">500 ns</w:t>
            </w:r>
          </w:p>
        </w:tc>
        <w:tc>
          <w:tcPr/>
          <w:p>
            <w:pPr>
              <w:pStyle w:val="Compact"/>
              <w:jc w:val="left"/>
            </w:pPr>
            <w:r>
              <w:t xml:space="preserve">Delta slippage; hedging loss</w:t>
            </w:r>
          </w:p>
        </w:tc>
      </w:tr>
      <w:tr>
        <w:tc>
          <w:tcPr/>
          <w:p>
            <w:pPr>
              <w:pStyle w:val="Compact"/>
              <w:jc w:val="left"/>
            </w:pPr>
            <w:r>
              <w:t xml:space="preserve">Overnight risk reduction</w:t>
            </w:r>
          </w:p>
        </w:tc>
        <w:tc>
          <w:tcPr/>
          <w:p>
            <w:pPr>
              <w:pStyle w:val="Compact"/>
              <w:jc w:val="left"/>
            </w:pPr>
            <w:r>
              <w:t xml:space="preserve">End of day</w:t>
            </w:r>
          </w:p>
        </w:tc>
        <w:tc>
          <w:tcPr/>
          <w:p>
            <w:pPr>
              <w:pStyle w:val="Compact"/>
              <w:jc w:val="left"/>
            </w:pPr>
            <w:r>
              <w:t xml:space="preserve">30 minutes</w:t>
            </w:r>
          </w:p>
        </w:tc>
        <w:tc>
          <w:tcPr/>
          <w:p>
            <w:pPr>
              <w:pStyle w:val="Compact"/>
              <w:jc w:val="left"/>
            </w:pPr>
            <w:r>
              <w:t xml:space="preserve">30 minutes (unchanged)</w:t>
            </w:r>
          </w:p>
        </w:tc>
        <w:tc>
          <w:tcPr/>
          <w:p>
            <w:pPr>
              <w:pStyle w:val="Compact"/>
              <w:jc w:val="left"/>
            </w:pPr>
            <w:r>
              <w:t xml:space="preserve">Regulatory capital; carry cost</w:t>
            </w:r>
          </w:p>
        </w:tc>
      </w:tr>
      <w:tr>
        <w:tc>
          <w:tcPr/>
          <w:p>
            <w:pPr>
              <w:pStyle w:val="Compact"/>
              <w:jc w:val="left"/>
            </w:pPr>
            <w:r>
              <w:t xml:space="preserve">VaR/scenario analysis</w:t>
            </w:r>
          </w:p>
        </w:tc>
        <w:tc>
          <w:tcPr/>
          <w:p>
            <w:pPr>
              <w:pStyle w:val="Compact"/>
              <w:jc w:val="left"/>
            </w:pPr>
            <w:r>
              <w:t xml:space="preserve">Intraday (1–5 min cycles)</w:t>
            </w:r>
          </w:p>
        </w:tc>
        <w:tc>
          <w:tcPr/>
          <w:p>
            <w:pPr>
              <w:pStyle w:val="Compact"/>
              <w:jc w:val="left"/>
            </w:pPr>
            <w:r>
              <w:t xml:space="preserve">1–5 minutes</w:t>
            </w:r>
          </w:p>
        </w:tc>
        <w:tc>
          <w:tcPr/>
          <w:p>
            <w:pPr>
              <w:pStyle w:val="Compact"/>
              <w:jc w:val="left"/>
            </w:pPr>
            <w:r>
              <w:t xml:space="preserve">&lt;1 second</w:t>
            </w:r>
          </w:p>
        </w:tc>
        <w:tc>
          <w:tcPr/>
          <w:p>
            <w:pPr>
              <w:pStyle w:val="Compact"/>
              <w:jc w:val="left"/>
            </w:pPr>
            <w:r>
              <w:t xml:space="preserve">Unmonitored tail risk</w:t>
            </w:r>
          </w:p>
        </w:tc>
      </w:tr>
    </w:tbl>
    <w:p>
      <w:pPr>
        <w:pStyle w:val="BodyText"/>
      </w:pPr>
      <w:r>
        <w:t xml:space="preserve">The table reveals a consistent pattern: FPGA acceleration addresses the high-frequency, tick-level operations where latency directly translates into P&amp;L impact, while longer-horizon activities such as overnight risk reduction remain in software where flexibility outweighs speed. The critical insight is that the majority of inventory management computation—Greeks recalculation, quote generation, hedge triggering, and P&amp;L streaming—occurs at frequencies and latency requirements that fall squarely within FPGA’s architectural strengths.</w:t>
      </w:r>
    </w:p>
    <w:p>
      <w:pPr>
        <w:pStyle w:val="BodyText"/>
      </w:pPr>
      <w:r>
        <w:t xml:space="preserve">The cumulative effect of these accelerations is transformative. A market maker quoting 10,000 option series with FPGA-accelerated inventory management can recalculate its entire risk book, update all quotes, and trigger hedging orders within 10 microseconds of an underlying price change. The equivalent CPU-bound workflow requires 1–5 milliseconds—100–500× slower—during which the underlying may have moved multiple ticks, the market maker’s quotes have become stale, and unhedged delta exposure has accumulated. This latency differential, repeated across millions of ticks per day, represents the difference between capturing the bid-ask spread and suffering adverse selection. Where Chapter 3 found that stock loan desks lack the message-rate intensity to justify hardware acceleration, this chapter demonstrates that inventory management workloads—40,000+ Greeks per tick, millions of quote updates per day, sub-microsecond hedge triggers—constitute the highest-ROI FPGA deployment target in trading infrastructure.</w:t>
      </w:r>
    </w:p>
    <w:p>
      <w:r>
        <w:pict>
          <v:rect style="width:0;height:1.5pt" o:hralign="center" o:hrstd="t" o:hr="t"/>
        </w:pict>
      </w:r>
    </w:p>
    <w:bookmarkEnd w:id="71"/>
    <w:bookmarkEnd w:id="72"/>
    <w:bookmarkStart w:id="89" w:name="implementation-roadmap-and-roi-analysis"/>
    <w:p>
      <w:pPr>
        <w:pStyle w:val="Heading2"/>
      </w:pPr>
      <w:r>
        <w:t xml:space="preserve">5. Implementation Roadmap and ROI Analysis</w:t>
      </w:r>
    </w:p>
    <w:p>
      <w:pPr>
        <w:pStyle w:val="FirstParagraph"/>
      </w:pPr>
      <w:r>
        <w:t xml:space="preserve">The preceding chapters established that FPGA acceleration delivers quantifiable latency reductions across delta-one trading (proven, deployed), inventory management (highest-ROI theoretical target), and securities lending (untapped greenfield). This chapter translates those findings into a concrete, phased implementation roadmap with quantified costs, projected benefits, and identified risk factors. The objective is to provide trading desk heads and technology leaders with a decision framework grounded in empirical benchmarks rather than vendor projections.</w:t>
      </w:r>
    </w:p>
    <w:bookmarkStart w:id="77" w:name="prioritized-implementation-phases"/>
    <w:p>
      <w:pPr>
        <w:pStyle w:val="Heading3"/>
      </w:pPr>
      <w:r>
        <w:t xml:space="preserve">5.1 Prioritized Implementation Phases</w:t>
      </w:r>
    </w:p>
    <w:p>
      <w:pPr>
        <w:pStyle w:val="FirstParagraph"/>
      </w:pPr>
      <w:r>
        <w:t xml:space="preserve">A four-phase sequence orders implementation by confidence level, risk exposure, and time to value. Phases 1 and 2 target domains with demonstrated FPGA deployments and immediate alpha potential; Phases 3 and 4 extend into greenfield territory where the technical case is strong but the commercial path requires vendor partnership or bespoke development.</w:t>
      </w:r>
    </w:p>
    <w:p>
      <w:pPr>
        <w:pStyle w:val="BodyText"/>
      </w:pPr>
      <w:r>
        <w:rPr>
          <w:bCs/>
          <w:b/>
        </w:rPr>
        <w:t xml:space="preserve">Table 5.1: Phased FPGA Implementation Plan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 Domain</w:t>
            </w:r>
          </w:p>
        </w:tc>
        <w:tc>
          <w:tcPr/>
          <w:p>
            <w:pPr>
              <w:pStyle w:val="Compact"/>
              <w:jc w:val="left"/>
            </w:pPr>
            <w:r>
              <w:t xml:space="preserve">Deliverable</w:t>
            </w:r>
          </w:p>
        </w:tc>
        <w:tc>
          <w:tcPr/>
          <w:p>
            <w:pPr>
              <w:pStyle w:val="Compact"/>
              <w:jc w:val="left"/>
            </w:pPr>
            <w:r>
              <w:t xml:space="preserve">Key Metric</w:t>
            </w:r>
          </w:p>
        </w:tc>
        <w:tc>
          <w:tcPr/>
          <w:p>
            <w:pPr>
              <w:pStyle w:val="Compact"/>
              <w:jc w:val="left"/>
            </w:pPr>
            <w:r>
              <w:t xml:space="preserve">Confidence</w:t>
            </w:r>
          </w:p>
        </w:tc>
        <w:tc>
          <w:tcPr/>
          <w:p>
            <w:pPr>
              <w:pStyle w:val="Compact"/>
              <w:jc w:val="left"/>
            </w:pPr>
            <w:r>
              <w:t xml:space="preserve">Upfront Investment</w:t>
            </w:r>
          </w:p>
        </w:tc>
      </w:tr>
      <w:tr>
        <w:tc>
          <w:tcPr/>
          <w:p>
            <w:pPr>
              <w:pStyle w:val="Compact"/>
              <w:jc w:val="left"/>
            </w:pPr>
            <w:r>
              <w:t xml:space="preserve">1</w:t>
            </w:r>
          </w:p>
        </w:tc>
        <w:tc>
          <w:tcPr/>
          <w:p>
            <w:pPr>
              <w:pStyle w:val="Compact"/>
              <w:jc w:val="left"/>
            </w:pPr>
            <w:r>
              <w:t xml:space="preserve">Months 0–3</w:t>
            </w:r>
          </w:p>
        </w:tc>
        <w:tc>
          <w:tcPr/>
          <w:p>
            <w:pPr>
              <w:pStyle w:val="Compact"/>
              <w:jc w:val="left"/>
            </w:pPr>
            <w:r>
              <w:t xml:space="preserve">Delta-one execution</w:t>
            </w:r>
          </w:p>
        </w:tc>
        <w:tc>
          <w:tcPr/>
          <w:p>
            <w:pPr>
              <w:pStyle w:val="Compact"/>
              <w:jc w:val="left"/>
            </w:pPr>
            <w:r>
              <w:t xml:space="preserve">FPGA feed handler + order book accelerator; FAST decode in hardware</w:t>
            </w:r>
          </w:p>
        </w:tc>
        <w:tc>
          <w:tcPr/>
          <w:p>
            <w:pPr>
              <w:pStyle w:val="Compact"/>
              <w:jc w:val="left"/>
            </w:pPr>
            <w:r>
              <w:t xml:space="preserve">4× latency reduction (12.8 µs → 2.6 µs)</w:t>
            </w:r>
            <w:r>
              <w:t xml:space="preserve"> </w:t>
            </w:r>
            <w:fldSimple w:instr="NOTEREF _Ref_Footnote_3 \h \f">
              <w:r>
                <w:rPr>
                  <w:vertAlign w:val="superscript"/>
                </w:rPr>
                <w:t>3</w:t>
              </w:r>
            </w:fldSimple>
            <w:r>
              <w:t xml:space="preserve">; sub-500 ns order book updates</w:t>
            </w:r>
          </w:p>
        </w:tc>
        <w:tc>
          <w:tcPr/>
          <w:p>
            <w:pPr>
              <w:pStyle w:val="Compact"/>
              <w:jc w:val="left"/>
            </w:pPr>
            <w:r>
              <w:t xml:space="preserve">High — proven deployments at multiple firms</w:t>
            </w:r>
            <w:r>
              <w:t xml:space="preserve"> </w:t>
            </w:r>
            <w:fldSimple w:instr="NOTEREF _Ref_Footnote_1 \h \f">
              <w:r>
                <w:rPr>
                  <w:vertAlign w:val="superscript"/>
                </w:rPr>
                <w:t>1</w:t>
              </w:r>
            </w:fldSimple>
          </w:p>
        </w:tc>
        <w:tc>
          <w:tcPr/>
          <w:p>
            <w:pPr>
              <w:pStyle w:val="Compact"/>
              <w:jc w:val="left"/>
            </w:pPr>
            <w:r>
              <w:t xml:space="preserve">$400K–$600K</w:t>
            </w:r>
          </w:p>
        </w:tc>
      </w:tr>
      <w:tr>
        <w:tc>
          <w:tcPr/>
          <w:p>
            <w:pPr>
              <w:pStyle w:val="Compact"/>
              <w:jc w:val="left"/>
            </w:pPr>
            <w:r>
              <w:t xml:space="preserve">2</w:t>
            </w:r>
          </w:p>
        </w:tc>
        <w:tc>
          <w:tcPr/>
          <w:p>
            <w:pPr>
              <w:pStyle w:val="Compact"/>
              <w:jc w:val="left"/>
            </w:pPr>
            <w:r>
              <w:t xml:space="preserve">Months 3–6</w:t>
            </w:r>
          </w:p>
        </w:tc>
        <w:tc>
          <w:tcPr/>
          <w:p>
            <w:pPr>
              <w:pStyle w:val="Compact"/>
              <w:jc w:val="left"/>
            </w:pPr>
            <w:r>
              <w:t xml:space="preserve">Options inventory management</w:t>
            </w:r>
          </w:p>
        </w:tc>
        <w:tc>
          <w:tcPr/>
          <w:p>
            <w:pPr>
              <w:pStyle w:val="Compact"/>
              <w:jc w:val="left"/>
            </w:pPr>
            <w:r>
              <w:t xml:space="preserve">Parallel Greeks engine; 10,000+ Black-Scholes pipelines</w:t>
            </w:r>
          </w:p>
        </w:tc>
        <w:tc>
          <w:tcPr/>
          <w:p>
            <w:pPr>
              <w:pStyle w:val="Compact"/>
              <w:jc w:val="left"/>
            </w:pPr>
            <w:r>
              <w:t xml:space="preserve">500–1,000× speedup; full book risk in &lt;10 µs</w:t>
            </w:r>
            <w:r>
              <w:t xml:space="preserve"> </w:t>
            </w:r>
            <w:fldSimple w:instr="NOTEREF _Ref_Footnote_8 \h \f">
              <w:r>
                <w:rPr>
                  <w:vertAlign w:val="superscript"/>
                </w:rPr>
                <w:t>8</w:t>
              </w:r>
            </w:fldSimple>
          </w:p>
        </w:tc>
        <w:tc>
          <w:tcPr/>
          <w:p>
            <w:pPr>
              <w:pStyle w:val="Compact"/>
              <w:jc w:val="left"/>
            </w:pPr>
            <w:r>
              <w:t xml:space="preserve">High — academically validated, commercially deployed at proprietary firms</w:t>
            </w:r>
          </w:p>
        </w:tc>
        <w:tc>
          <w:tcPr/>
          <w:p>
            <w:pPr>
              <w:pStyle w:val="Compact"/>
              <w:jc w:val="left"/>
            </w:pPr>
            <w:r>
              <w:t xml:space="preserve">$700K–$900K</w:t>
            </w:r>
          </w:p>
        </w:tc>
      </w:tr>
      <w:tr>
        <w:tc>
          <w:tcPr/>
          <w:p>
            <w:pPr>
              <w:pStyle w:val="Compact"/>
              <w:jc w:val="left"/>
            </w:pPr>
            <w:r>
              <w:t xml:space="preserve">3</w:t>
            </w:r>
          </w:p>
        </w:tc>
        <w:tc>
          <w:tcPr/>
          <w:p>
            <w:pPr>
              <w:pStyle w:val="Compact"/>
              <w:jc w:val="left"/>
            </w:pPr>
            <w:r>
              <w:t xml:space="preserve">Months 6–12</w:t>
            </w:r>
          </w:p>
        </w:tc>
        <w:tc>
          <w:tcPr/>
          <w:p>
            <w:pPr>
              <w:pStyle w:val="Compact"/>
              <w:jc w:val="left"/>
            </w:pPr>
            <w:r>
              <w:t xml:space="preserve">Securities lending</w:t>
            </w:r>
          </w:p>
        </w:tc>
        <w:tc>
          <w:tcPr/>
          <w:p>
            <w:pPr>
              <w:pStyle w:val="Compact"/>
              <w:jc w:val="left"/>
            </w:pPr>
            <w:r>
              <w:t xml:space="preserve">Hardware-accelerated locate engine; BRAM-based inventory lookup</w:t>
            </w:r>
          </w:p>
        </w:tc>
        <w:tc>
          <w:tcPr/>
          <w:p>
            <w:pPr>
              <w:pStyle w:val="Compact"/>
              <w:jc w:val="left"/>
            </w:pPr>
            <w:r>
              <w:t xml:space="preserve">100× response improvement (50–100 ms → &lt;1 µs)</w:t>
            </w:r>
            <w:r>
              <w:t xml:space="preserve"> </w:t>
            </w:r>
            <w:fldSimple w:instr="NOTEREF _Ref_Footnote_6 \h \f">
              <w:r>
                <w:rPr>
                  <w:vertAlign w:val="superscript"/>
                </w:rPr>
                <w:t>6</w:t>
              </w:r>
            </w:fldSimple>
          </w:p>
        </w:tc>
        <w:tc>
          <w:tcPr/>
          <w:p>
            <w:pPr>
              <w:pStyle w:val="Compact"/>
              <w:jc w:val="left"/>
            </w:pPr>
            <w:r>
              <w:t xml:space="preserve">Medium — technically feasible, no vendor solutions exist</w:t>
            </w:r>
          </w:p>
        </w:tc>
        <w:tc>
          <w:tcPr/>
          <w:p>
            <w:pPr>
              <w:pStyle w:val="Compact"/>
              <w:jc w:val="left"/>
            </w:pPr>
            <w:r>
              <w:t xml:space="preserve">$1.0M–$1.4M</w:t>
            </w:r>
          </w:p>
        </w:tc>
      </w:tr>
      <w:tr>
        <w:tc>
          <w:tcPr/>
          <w:p>
            <w:pPr>
              <w:pStyle w:val="Compact"/>
              <w:jc w:val="left"/>
            </w:pPr>
            <w:r>
              <w:t xml:space="preserve">4</w:t>
            </w:r>
          </w:p>
        </w:tc>
        <w:tc>
          <w:tcPr/>
          <w:p>
            <w:pPr>
              <w:pStyle w:val="Compact"/>
              <w:jc w:val="left"/>
            </w:pPr>
            <w:r>
              <w:t xml:space="preserve">Months 12–24</w:t>
            </w:r>
          </w:p>
        </w:tc>
        <w:tc>
          <w:tcPr/>
          <w:p>
            <w:pPr>
              <w:pStyle w:val="Compact"/>
              <w:jc w:val="left"/>
            </w:pPr>
            <w:r>
              <w:t xml:space="preserve">Delta-one basket arbitrage</w:t>
            </w:r>
          </w:p>
        </w:tc>
        <w:tc>
          <w:tcPr/>
          <w:p>
            <w:pPr>
              <w:pStyle w:val="Compact"/>
              <w:jc w:val="left"/>
            </w:pPr>
            <w:r>
              <w:t xml:space="preserve">Full 500-stock NAV engine; ETF tick-to-trade in hardware</w:t>
            </w:r>
          </w:p>
        </w:tc>
        <w:tc>
          <w:tcPr/>
          <w:p>
            <w:pPr>
              <w:pStyle w:val="Compact"/>
              <w:jc w:val="left"/>
            </w:pPr>
            <w:r>
              <w:t xml:space="preserve">S&amp;P 500 NAV in &lt;1 µs; round-trip arbitrage in &lt;5 µs</w:t>
            </w:r>
            <w:r>
              <w:t xml:space="preserve"> </w:t>
            </w:r>
            <w:fldSimple w:instr="NOTEREF _Ref_Footnote_3 \h \f">
              <w:r>
                <w:rPr>
                  <w:vertAlign w:val="superscript"/>
                </w:rPr>
                <w:t>3</w:t>
              </w:r>
            </w:fldSimple>
          </w:p>
        </w:tc>
        <w:tc>
          <w:tcPr/>
          <w:p>
            <w:pPr>
              <w:pStyle w:val="Compact"/>
              <w:jc w:val="left"/>
            </w:pPr>
            <w:r>
              <w:t xml:space="preserve">Medium — theoretically sound, limited published deployment evidence</w:t>
            </w:r>
          </w:p>
        </w:tc>
        <w:tc>
          <w:tcPr/>
          <w:p>
            <w:pPr>
              <w:pStyle w:val="Compact"/>
              <w:jc w:val="left"/>
            </w:pPr>
            <w:r>
              <w:t xml:space="preserve">$800K–$1.2M</w:t>
            </w:r>
          </w:p>
        </w:tc>
      </w:tr>
    </w:tbl>
    <w:p>
      <w:pPr>
        <w:pStyle w:val="BodyText"/>
      </w:pPr>
      <w:r>
        <w:t xml:space="preserve">The phased structure reflects two ordering principles: implementation confidence and dependency sequencing. Phase 1 delivers immediate latency gains using off-the-shelf components from AMD (Alveo UL3524/UL3422), Exegy (nxFeed, nxAccess), or Magmio, with integration measured in weeks rather than months</w:t>
      </w:r>
      <w:r>
        <w:t xml:space="preserve"> </w:t>
      </w:r>
      <w:fldSimple w:instr="NOTEREF _Ref_Footnote_1 \h \f">
        <w:r>
          <w:rPr>
            <w:vertAlign w:val="superscript"/>
          </w:rPr>
          <w:t>1</w:t>
        </w:r>
      </w:fldSimple>
      <w:r>
        <w:t xml:space="preserve"> </w:t>
      </w:r>
      <w:fldSimple w:instr="NOTEREF _Ref_Footnote_17 \h \f">
        <w:r>
          <w:rPr>
            <w:vertAlign w:val="superscript"/>
          </w:rPr>
          <w:t>17</w:t>
        </w:r>
      </w:fldSimple>
      <w:r>
        <w:t xml:space="preserve">. Phase 2 builds on the same hardware infrastructure — the FPGA cards provisioned in Phase 1 are reprogrammed to add Greeks calculation pipelines — while adding specialized options pricing expertise to the engineering team. Phase 3 requires API integration with EquiLend NGT or FIS Smart Loan platforms, which no FPGA vendor currently supports, necessitating custom development. Phase 4 synthesizes the feed handling from Phase 1 with the basket calculation logic to build a complete ETF arbitrage tick-to-trade pipeline.</w:t>
      </w:r>
    </w:p>
    <w:bookmarkStart w:id="73" w:name="Xeb77762dceed4d49d4d8f83361bd7d87d935e50"/>
    <w:p>
      <w:pPr>
        <w:pStyle w:val="Heading4"/>
      </w:pPr>
      <w:r>
        <w:t xml:space="preserve">5.1.1 Phase 1 (Immediate — 0–3 Months): Feed Handler and Order Book Acceleration</w:t>
      </w:r>
    </w:p>
    <w:p>
      <w:pPr>
        <w:pStyle w:val="FirstParagraph"/>
      </w:pPr>
      <w:r>
        <w:t xml:space="preserve">Phase 1 targets the lowest-risk, highest-confidence FPGA application: market data feed handling and order book management for delta-one desks. The AMD Alveo UL3524, which holds the 13.9 ns STAC-T0 world record, provides sub-1.2 µs average feed processing latency even when OPRA bursts to 187 million messages per second</w:t>
      </w:r>
      <w:r>
        <w:t xml:space="preserve"> </w:t>
      </w:r>
      <w:fldSimple w:instr="NOTEREF _Ref_Footnote_1 \h \f">
        <w:r>
          <w:rPr>
            <w:vertAlign w:val="superscript"/>
          </w:rPr>
          <w:t>1</w:t>
        </w:r>
      </w:fldSimple>
      <w:r>
        <w:t xml:space="preserve">. For a desk trading S&amp;P 500 constituents, the deliverable is a hardware-accelerated FAST decoder and order book updater that reduces tick-to-order latency by 4× or more.</w:t>
      </w:r>
    </w:p>
    <w:p>
      <w:pPr>
        <w:pStyle w:val="BodyText"/>
      </w:pPr>
      <w:r>
        <w:t xml:space="preserve">The implementation uses existing vendor products: Exegy nxFeed for market data ingestion, NovaTick (now Exegy) for FPGA order book construction, and nxAccess for order gateway acceleration</w:t>
      </w:r>
      <w:r>
        <w:t xml:space="preserve"> </w:t>
      </w:r>
      <w:fldSimple w:instr="NOTEREF _Ref_Footnote_17 \h \f">
        <w:r>
          <w:rPr>
            <w:vertAlign w:val="superscript"/>
          </w:rPr>
          <w:t>17</w:t>
        </w:r>
      </w:fldSimple>
      <w:r>
        <w:t xml:space="preserve">. These components integrate via the nxFramework, which provides 60+ pre-built IP cores that reduce development time by 50–70% compared with raw HDL implementation</w:t>
      </w:r>
      <w:r>
        <w:t xml:space="preserve"> </w:t>
      </w:r>
      <w:fldSimple w:instr="NOTEREF _Ref_Footnote_17 \h \f">
        <w:r>
          <w:rPr>
            <w:vertAlign w:val="superscript"/>
          </w:rPr>
          <w:t>17</w:t>
        </w:r>
      </w:fldSimple>
      <w:r>
        <w:t xml:space="preserve">. A single senior FPGA engineer, working with the desk’s existing quantitative developers, can complete Phase 1 integration within the three-month window.</w:t>
      </w:r>
    </w:p>
    <w:bookmarkEnd w:id="73"/>
    <w:bookmarkStart w:id="74" w:name="Xf424dd600c2430c821d639d0fac352df9fccb0b"/>
    <w:p>
      <w:pPr>
        <w:pStyle w:val="Heading4"/>
      </w:pPr>
      <w:r>
        <w:t xml:space="preserve">5.1.2 Phase 2 (Short-term — 3–6 Months): Greeks Calculation Engine</w:t>
      </w:r>
    </w:p>
    <w:p>
      <w:pPr>
        <w:pStyle w:val="FirstParagraph"/>
      </w:pPr>
      <w:r>
        <w:t xml:space="preserve">Phase 2 addresses the highest-ROI opportunity identified in Chapter 4: real-time Greeks computation for options market makers. The deliverable is an FPGA-based Black-Scholes pipeline capable of evaluating 10,000+ option series in under 10 microseconds — a 500–1,000× speedup over CPU risk engines that require 1–5 milliseconds for the same workload</w:t>
      </w:r>
      <w:r>
        <w:t xml:space="preserve"> </w:t>
      </w:r>
      <w:fldSimple w:instr="NOTEREF _Ref_Footnote_8 \h \f">
        <w:r>
          <w:rPr>
            <w:vertAlign w:val="superscript"/>
          </w:rPr>
          <w:t>8</w:t>
        </w:r>
      </w:fldSimple>
      <w:r>
        <w:t xml:space="preserve">.</w:t>
      </w:r>
    </w:p>
    <w:p>
      <w:pPr>
        <w:pStyle w:val="BodyText"/>
      </w:pPr>
      <w:r>
        <w:t xml:space="preserve">The technical approach instantiates parallel pricing cores on the same Alveo cards deployed in Phase 1. Each core computes delta, gamma, theta, and vega simultaneously in a single clock cycle, with DSP slices handling the multiply-accumulate operations and BRAM storing volatility surface data</w:t>
      </w:r>
      <w:r>
        <w:t xml:space="preserve"> </w:t>
      </w:r>
      <w:fldSimple w:instr="NOTEREF _Ref_Footnote_12 \h \f">
        <w:r>
          <w:rPr>
            <w:vertAlign w:val="superscript"/>
          </w:rPr>
          <w:t>12</w:t>
        </w:r>
      </w:fldSimple>
      <w:r>
        <w:t xml:space="preserve">. The Crank-Nicolson finite difference method for American options is unrolled into a spatial pipeline, enabling hardware-accelerated pricing for options lacking closed-form solutions</w:t>
      </w:r>
      <w:r>
        <w:t xml:space="preserve"> </w:t>
      </w:r>
      <w:fldSimple w:instr="NOTEREF _Ref_Footnote_8 \h \f">
        <w:r>
          <w:rPr>
            <w:vertAlign w:val="superscript"/>
          </w:rPr>
          <w:t>8</w:t>
        </w:r>
      </w:fldSimple>
      <w:r>
        <w:t xml:space="preserve">. Integration with the desk’s existing auto-quoter and delta hedge triggers requires custom logic but builds on the network I/O infrastructure established in Phase 1.</w:t>
      </w:r>
    </w:p>
    <w:bookmarkEnd w:id="74"/>
    <w:bookmarkStart w:id="75" w:name="X6f53b8dd46f552f4c67f2da864abf5e7981c444"/>
    <w:p>
      <w:pPr>
        <w:pStyle w:val="Heading4"/>
      </w:pPr>
      <w:r>
        <w:t xml:space="preserve">5.1.3 Phase 3 (Medium-term — 6–12 Months): Hardware-Accelerated Locate Engine</w:t>
      </w:r>
    </w:p>
    <w:p>
      <w:pPr>
        <w:pStyle w:val="FirstParagraph"/>
      </w:pPr>
      <w:r>
        <w:t xml:space="preserve">Phase 3 enters greenfield territory: securities lending locate authorization, where no FPGA deployments currently exist. The deliverable is a hardware-accelerated locate engine that maintains inventory availability tables in FPGA BRAM, enabling parallel lookup across all inventory sources in a single clock cycle and reducing locate response time from 50–100 milliseconds to sub-microsecond</w:t>
      </w:r>
      <w:r>
        <w:t xml:space="preserve"> </w:t>
      </w:r>
      <w:fldSimple w:instr="NOTEREF _Ref_Footnote_6 \h \f">
        <w:r>
          <w:rPr>
            <w:vertAlign w:val="superscript"/>
          </w:rPr>
          <w:t>6</w:t>
        </w:r>
      </w:fldSimple>
      <w:r>
        <w:t xml:space="preserve">.</w:t>
      </w:r>
    </w:p>
    <w:p>
      <w:pPr>
        <w:pStyle w:val="BodyText"/>
      </w:pPr>
      <w:r>
        <w:t xml:space="preserve">The implementation challenge is integration. Unlike delta-one and options market making, where FPGA vendors provide pre-built feed handlers and order gateways, securities lending platforms (EquiLend NGT, FIS Smart Loan, ION Anvil) expose only software APIs</w:t>
      </w:r>
      <w:r>
        <w:t xml:space="preserve"> </w:t>
      </w:r>
      <w:fldSimple w:instr="NOTEREF _Ref_Footnote_10 \h \f">
        <w:r>
          <w:rPr>
            <w:vertAlign w:val="superscript"/>
          </w:rPr>
          <w:t>10</w:t>
        </w:r>
      </w:fldSimple>
      <w:r>
        <w:t xml:space="preserve"> </w:t>
      </w:r>
      <w:fldSimple w:instr="NOTEREF _Ref_Footnote_6 \h \f">
        <w:r>
          <w:rPr>
            <w:vertAlign w:val="superscript"/>
          </w:rPr>
          <w:t>6</w:t>
        </w:r>
      </w:fldSimple>
      <w:r>
        <w:t xml:space="preserve"> </w:t>
      </w:r>
      <w:fldSimple w:instr="NOTEREF _Ref_Footnote_14 \h \f">
        <w:r>
          <w:rPr>
            <w:vertAlign w:val="superscript"/>
          </w:rPr>
          <w:t>14</w:t>
        </w:r>
      </w:fldSimple>
      <w:r>
        <w:t xml:space="preserve">. The FPGA locate engine must interface with these APIs through a custom translation layer that feeds inventory updates into BRAM tables and returns authorization responses to the platform’s middleware. This custom development burden is the primary factor extending Phase 3 to six months. The 100× response improvement would not merely optimize existing workflows but enable high-frequency short-selling strategies currently impractical due to locate latency constraints.</w:t>
      </w:r>
    </w:p>
    <w:bookmarkEnd w:id="75"/>
    <w:bookmarkStart w:id="76" w:name="X3a7c4751c13c92c3366d5327b0d0fec971ee89d"/>
    <w:p>
      <w:pPr>
        <w:pStyle w:val="Heading4"/>
      </w:pPr>
      <w:r>
        <w:t xml:space="preserve">5.1.4 Phase 4 (Long-term — 12+ Months): Full Basket NAV Calculation Engine</w:t>
      </w:r>
    </w:p>
    <w:p>
      <w:pPr>
        <w:pStyle w:val="FirstParagraph"/>
      </w:pPr>
      <w:r>
        <w:t xml:space="preserve">Phase 4 combines the feed handling infrastructure from Phase 1 with a dedicated basket calculation pipeline to build a complete ETF arbitrage tick-to-trade system. The deliverable is a 500-stock S&amp;P 500 NAV engine using parallel multiply-accumulate (MAC) units, achieving sub-microsecond NAV recalculation on every constituent price update</w:t>
      </w:r>
      <w:r>
        <w:t xml:space="preserve"> </w:t>
      </w:r>
      <w:fldSimple w:instr="NOTEREF _Ref_Footnote_3 \h \f">
        <w:r>
          <w:rPr>
            <w:vertAlign w:val="superscript"/>
          </w:rPr>
          <w:t>3</w:t>
        </w:r>
      </w:fldSimple>
      <w:r>
        <w:t xml:space="preserve">.</w:t>
      </w:r>
    </w:p>
    <w:p>
      <w:pPr>
        <w:pStyle w:val="BodyText"/>
      </w:pPr>
      <w:r>
        <w:t xml:space="preserve">The Heidelberg basket calculation research demonstrated sub-microsecond latency for 100-constituent baskets with linear scaling through additional DSP slice utilization</w:t>
      </w:r>
      <w:r>
        <w:t xml:space="preserve"> </w:t>
      </w:r>
      <w:fldSimple w:instr="NOTEREF _Ref_Footnote_3 \h \f">
        <w:r>
          <w:rPr>
            <w:vertAlign w:val="superscript"/>
          </w:rPr>
          <w:t>3</w:t>
        </w:r>
      </w:fldSimple>
      <w:r>
        <w:t xml:space="preserve">. Extending to 500 constituents requires approximately 500 parallel MAC units and a reduction tree summing partial products — well within the 1,680 DSP slices available on the Alveo UL3524</w:t>
      </w:r>
      <w:r>
        <w:t xml:space="preserve"> </w:t>
      </w:r>
      <w:fldSimple w:instr="NOTEREF _Ref_Footnote_12 \h \f">
        <w:r>
          <w:rPr>
            <w:vertAlign w:val="superscript"/>
          </w:rPr>
          <w:t>12</w:t>
        </w:r>
      </w:fldSimple>
      <w:r>
        <w:t xml:space="preserve">. When combined with the 13.9 ns tick-to-trade capability, the full pipeline enables arbitrage cycle completion in under 5 microseconds, compared with 200+ microseconds for software-based competitors</w:t>
      </w:r>
      <w:r>
        <w:t xml:space="preserve"> </w:t>
      </w:r>
      <w:fldSimple w:instr="NOTEREF _Ref_Footnote_21 \h \f">
        <w:r>
          <w:rPr>
            <w:vertAlign w:val="superscript"/>
          </w:rPr>
          <w:t>21</w:t>
        </w:r>
      </w:fldSimple>
      <w:r>
        <w:t xml:space="preserve">. Phase 4 has the longest timeline because it requires both the feed infrastructure from Phase 1 and the custom development expertise built across Phases 2 and 3.</w:t>
      </w:r>
    </w:p>
    <w:bookmarkEnd w:id="76"/>
    <w:bookmarkEnd w:id="77"/>
    <w:bookmarkStart w:id="84" w:name="cost-benefit-analysis"/>
    <w:p>
      <w:pPr>
        <w:pStyle w:val="Heading3"/>
      </w:pPr>
      <w:r>
        <w:t xml:space="preserve">5.2 Cost-Benefit Analysis</w:t>
      </w:r>
    </w:p>
    <w:bookmarkStart w:id="78" w:name="hardware-and-personnel-costs"/>
    <w:p>
      <w:pPr>
        <w:pStyle w:val="Heading4"/>
      </w:pPr>
      <w:r>
        <w:t xml:space="preserve">5.2.1 Hardware and Personnel Costs</w:t>
      </w:r>
    </w:p>
    <w:p>
      <w:pPr>
        <w:pStyle w:val="FirstParagraph"/>
      </w:pPr>
      <w:r>
        <w:rPr>
          <w:bCs/>
          <w:b/>
        </w:rPr>
        <w:t xml:space="preserve">Table 5.2: Cost-Benefit Analysis by Implementation Phase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Cost / Benefit Item</w:t>
            </w:r>
          </w:p>
        </w:tc>
        <w:tc>
          <w:tcPr/>
          <w:p>
            <w:pPr>
              <w:pStyle w:val="Compact"/>
              <w:jc w:val="right"/>
            </w:pPr>
            <w:r>
              <w:t xml:space="preserve">Phase 1 (Delta-One)</w:t>
            </w:r>
          </w:p>
        </w:tc>
        <w:tc>
          <w:tcPr/>
          <w:p>
            <w:pPr>
              <w:pStyle w:val="Compact"/>
              <w:jc w:val="right"/>
            </w:pPr>
            <w:r>
              <w:t xml:space="preserve">Phase 2 (Options Greeks)</w:t>
            </w:r>
          </w:p>
        </w:tc>
        <w:tc>
          <w:tcPr/>
          <w:p>
            <w:pPr>
              <w:pStyle w:val="Compact"/>
              <w:jc w:val="right"/>
            </w:pPr>
            <w:r>
              <w:t xml:space="preserve">Phase 3 (Securities Lending)</w:t>
            </w:r>
          </w:p>
        </w:tc>
        <w:tc>
          <w:tcPr/>
          <w:p>
            <w:pPr>
              <w:pStyle w:val="Compact"/>
              <w:jc w:val="right"/>
            </w:pPr>
            <w:r>
              <w:t xml:space="preserve">Phase 4 (Basket NAV)</w:t>
            </w:r>
          </w:p>
        </w:tc>
      </w:tr>
      <w:tr>
        <w:tc>
          <w:tcPr/>
          <w:p>
            <w:pPr>
              <w:pStyle w:val="Compact"/>
              <w:jc w:val="left"/>
            </w:pPr>
            <w:r>
              <w:rPr>
                <w:bCs/>
                <w:b/>
              </w:rPr>
              <w:t xml:space="preserve">Capital Expenditure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FPGA accelerator cards ($5K–$15K/unit)</w:t>
            </w:r>
            <w:r>
              <w:t xml:space="preserve"> </w:t>
            </w:r>
            <w:fldSimple w:instr="NOTEREF _Ref_Footnote_1 \h \f">
              <w:r>
                <w:rPr>
                  <w:vertAlign w:val="superscript"/>
                </w:rPr>
                <w:t>1</w:t>
              </w:r>
            </w:fldSimple>
          </w:p>
        </w:tc>
        <w:tc>
          <w:tcPr/>
          <w:p>
            <w:pPr>
              <w:pStyle w:val="Compact"/>
              <w:jc w:val="right"/>
            </w:pPr>
            <w:r>
              <w:t xml:space="preserve">$30K (2× UL3524)</w:t>
            </w:r>
          </w:p>
        </w:tc>
        <w:tc>
          <w:tcPr/>
          <w:p>
            <w:pPr>
              <w:pStyle w:val="Compact"/>
              <w:jc w:val="right"/>
            </w:pPr>
            <w:r>
              <w:t xml:space="preserve">$0 (reuse Phase 1)</w:t>
            </w:r>
          </w:p>
        </w:tc>
        <w:tc>
          <w:tcPr/>
          <w:p>
            <w:pPr>
              <w:pStyle w:val="Compact"/>
              <w:jc w:val="right"/>
            </w:pPr>
            <w:r>
              <w:t xml:space="preserve">$45K (3× additional)</w:t>
            </w:r>
          </w:p>
        </w:tc>
        <w:tc>
          <w:tcPr/>
          <w:p>
            <w:pPr>
              <w:pStyle w:val="Compact"/>
              <w:jc w:val="right"/>
            </w:pPr>
            <w:r>
              <w:t xml:space="preserve">$0 (reuse prior)</w:t>
            </w:r>
          </w:p>
        </w:tc>
      </w:tr>
      <w:tr>
        <w:tc>
          <w:tcPr/>
          <w:p>
            <w:pPr>
              <w:pStyle w:val="Compact"/>
              <w:jc w:val="left"/>
            </w:pPr>
            <w:r>
              <w:t xml:space="preserve">Server + NICs</w:t>
            </w:r>
          </w:p>
        </w:tc>
        <w:tc>
          <w:tcPr/>
          <w:p>
            <w:pPr>
              <w:pStyle w:val="Compact"/>
              <w:jc w:val="right"/>
            </w:pPr>
            <w:r>
              <w:t xml:space="preserve">$20K</w:t>
            </w:r>
          </w:p>
        </w:tc>
        <w:tc>
          <w:tcPr/>
          <w:p>
            <w:pPr>
              <w:pStyle w:val="Compact"/>
              <w:jc w:val="right"/>
            </w:pPr>
            <w:r>
              <w:t xml:space="preserve">$15K</w:t>
            </w:r>
          </w:p>
        </w:tc>
        <w:tc>
          <w:tcPr/>
          <w:p>
            <w:pPr>
              <w:pStyle w:val="Compact"/>
              <w:jc w:val="right"/>
            </w:pPr>
            <w:r>
              <w:t xml:space="preserve">$20K</w:t>
            </w:r>
          </w:p>
        </w:tc>
        <w:tc>
          <w:tcPr/>
          <w:p>
            <w:pPr>
              <w:pStyle w:val="Compact"/>
              <w:jc w:val="right"/>
            </w:pPr>
            <w:r>
              <w:t xml:space="preserve">$15K</w:t>
            </w:r>
          </w:p>
        </w:tc>
      </w:tr>
      <w:tr>
        <w:tc>
          <w:tcPr/>
          <w:p>
            <w:pPr>
              <w:pStyle w:val="Compact"/>
              <w:jc w:val="left"/>
            </w:pPr>
            <w:r>
              <w:t xml:space="preserve">Co-location (6 months)</w:t>
            </w:r>
          </w:p>
        </w:tc>
        <w:tc>
          <w:tcPr/>
          <w:p>
            <w:pPr>
              <w:pStyle w:val="Compact"/>
              <w:jc w:val="right"/>
            </w:pPr>
            <w:r>
              <w:t xml:space="preserve">$60K</w:t>
            </w:r>
          </w:p>
        </w:tc>
        <w:tc>
          <w:tcPr/>
          <w:p>
            <w:pPr>
              <w:pStyle w:val="Compact"/>
              <w:jc w:val="right"/>
            </w:pPr>
            <w:r>
              <w:t xml:space="preserve">$60K</w:t>
            </w:r>
          </w:p>
        </w:tc>
        <w:tc>
          <w:tcPr/>
          <w:p>
            <w:pPr>
              <w:pStyle w:val="Compact"/>
              <w:jc w:val="right"/>
            </w:pPr>
            <w:r>
              <w:t xml:space="preserve">$60K</w:t>
            </w:r>
          </w:p>
        </w:tc>
        <w:tc>
          <w:tcPr/>
          <w:p>
            <w:pPr>
              <w:pStyle w:val="Compact"/>
              <w:jc w:val="right"/>
            </w:pPr>
            <w:r>
              <w:t xml:space="preserve">$60K</w:t>
            </w:r>
          </w:p>
        </w:tc>
      </w:tr>
      <w:tr>
        <w:tc>
          <w:tcPr/>
          <w:p>
            <w:pPr>
              <w:pStyle w:val="Compact"/>
              <w:jc w:val="left"/>
            </w:pPr>
            <w:r>
              <w:t xml:space="preserve">Cross-connects (6 months)</w:t>
            </w:r>
          </w:p>
        </w:tc>
        <w:tc>
          <w:tcPr/>
          <w:p>
            <w:pPr>
              <w:pStyle w:val="Compact"/>
              <w:jc w:val="right"/>
            </w:pPr>
            <w:r>
              <w:t xml:space="preserve">$30K</w:t>
            </w:r>
          </w:p>
        </w:tc>
        <w:tc>
          <w:tcPr/>
          <w:p>
            <w:pPr>
              <w:pStyle w:val="Compact"/>
              <w:jc w:val="right"/>
            </w:pPr>
            <w:r>
              <w:t xml:space="preserve">$30K</w:t>
            </w:r>
          </w:p>
        </w:tc>
        <w:tc>
          <w:tcPr/>
          <w:p>
            <w:pPr>
              <w:pStyle w:val="Compact"/>
              <w:jc w:val="right"/>
            </w:pPr>
            <w:r>
              <w:t xml:space="preserve">$20K</w:t>
            </w:r>
          </w:p>
        </w:tc>
        <w:tc>
          <w:tcPr/>
          <w:p>
            <w:pPr>
              <w:pStyle w:val="Compact"/>
              <w:jc w:val="right"/>
            </w:pPr>
            <w:r>
              <w:t xml:space="preserve">$30K</w:t>
            </w:r>
          </w:p>
        </w:tc>
      </w:tr>
      <w:tr>
        <w:tc>
          <w:tcPr/>
          <w:p>
            <w:pPr>
              <w:pStyle w:val="Compact"/>
              <w:jc w:val="left"/>
            </w:pPr>
            <w:r>
              <w:rPr>
                <w:bCs/>
                <w:b/>
              </w:rPr>
              <w:t xml:space="preserve">Personnel (6 months)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FPGA engineer ($300K–$500K/year)</w:t>
            </w:r>
            <w:r>
              <w:t xml:space="preserve"> </w:t>
            </w:r>
            <w:fldSimple w:instr="NOTEREF _Ref_Footnote_1 \h \f">
              <w:r>
                <w:rPr>
                  <w:vertAlign w:val="superscript"/>
                </w:rPr>
                <w:t>1</w:t>
              </w:r>
            </w:fldSimple>
          </w:p>
        </w:tc>
        <w:tc>
          <w:tcPr/>
          <w:p>
            <w:pPr>
              <w:pStyle w:val="Compact"/>
              <w:jc w:val="right"/>
            </w:pPr>
            <w:r>
              <w:t xml:space="preserve">$200K</w:t>
            </w:r>
          </w:p>
        </w:tc>
        <w:tc>
          <w:tcPr/>
          <w:p>
            <w:pPr>
              <w:pStyle w:val="Compact"/>
              <w:jc w:val="right"/>
            </w:pPr>
            <w:r>
              <w:t xml:space="preserve">$200K</w:t>
            </w:r>
          </w:p>
        </w:tc>
        <w:tc>
          <w:tcPr/>
          <w:p>
            <w:pPr>
              <w:pStyle w:val="Compact"/>
              <w:jc w:val="right"/>
            </w:pPr>
            <w:r>
              <w:t xml:space="preserve">$250K</w:t>
            </w:r>
          </w:p>
        </w:tc>
        <w:tc>
          <w:tcPr/>
          <w:p>
            <w:pPr>
              <w:pStyle w:val="Compact"/>
              <w:jc w:val="right"/>
            </w:pPr>
            <w:r>
              <w:t xml:space="preserve">$200K</w:t>
            </w:r>
          </w:p>
        </w:tc>
      </w:tr>
      <w:tr>
        <w:tc>
          <w:tcPr/>
          <w:p>
            <w:pPr>
              <w:pStyle w:val="Compact"/>
              <w:jc w:val="left"/>
            </w:pPr>
            <w:r>
              <w:t xml:space="preserve">Quantitative developer (support)</w:t>
            </w:r>
          </w:p>
        </w:tc>
        <w:tc>
          <w:tcPr/>
          <w:p>
            <w:pPr>
              <w:pStyle w:val="Compact"/>
              <w:jc w:val="right"/>
            </w:pPr>
            <w:r>
              <w:t xml:space="preserve">$100K</w:t>
            </w:r>
          </w:p>
        </w:tc>
        <w:tc>
          <w:tcPr/>
          <w:p>
            <w:pPr>
              <w:pStyle w:val="Compact"/>
              <w:jc w:val="right"/>
            </w:pPr>
            <w:r>
              <w:t xml:space="preserve">$100K</w:t>
            </w:r>
          </w:p>
        </w:tc>
        <w:tc>
          <w:tcPr/>
          <w:p>
            <w:pPr>
              <w:pStyle w:val="Compact"/>
              <w:jc w:val="right"/>
            </w:pPr>
            <w:r>
              <w:t xml:space="preserve">$150K</w:t>
            </w:r>
          </w:p>
        </w:tc>
        <w:tc>
          <w:tcPr/>
          <w:p>
            <w:pPr>
              <w:pStyle w:val="Compact"/>
              <w:jc w:val="right"/>
            </w:pPr>
            <w:r>
              <w:t xml:space="preserve">$100K</w:t>
            </w:r>
          </w:p>
        </w:tc>
      </w:tr>
      <w:tr>
        <w:tc>
          <w:tcPr/>
          <w:p>
            <w:pPr>
              <w:pStyle w:val="Compact"/>
              <w:jc w:val="left"/>
            </w:pPr>
            <w:r>
              <w:rPr>
                <w:bCs/>
                <w:b/>
              </w:rPr>
              <w:t xml:space="preserve">Total Six-Month Investment</w:t>
            </w:r>
          </w:p>
        </w:tc>
        <w:tc>
          <w:tcPr/>
          <w:p>
            <w:pPr>
              <w:pStyle w:val="Compact"/>
              <w:jc w:val="right"/>
            </w:pPr>
            <w:r>
              <w:t xml:space="preserve">$440K</w:t>
            </w:r>
          </w:p>
        </w:tc>
        <w:tc>
          <w:tcPr/>
          <w:p>
            <w:pPr>
              <w:pStyle w:val="Compact"/>
              <w:jc w:val="right"/>
            </w:pPr>
            <w:r>
              <w:t xml:space="preserve">$405K</w:t>
            </w:r>
          </w:p>
        </w:tc>
        <w:tc>
          <w:tcPr/>
          <w:p>
            <w:pPr>
              <w:pStyle w:val="Compact"/>
              <w:jc w:val="right"/>
            </w:pPr>
            <w:r>
              <w:t xml:space="preserve">$545K</w:t>
            </w:r>
          </w:p>
        </w:tc>
        <w:tc>
          <w:tcPr/>
          <w:p>
            <w:pPr>
              <w:pStyle w:val="Compact"/>
              <w:jc w:val="right"/>
            </w:pPr>
            <w:r>
              <w:t xml:space="preserve">$405K</w:t>
            </w:r>
          </w:p>
        </w:tc>
      </w:tr>
      <w:tr>
        <w:tc>
          <w:tcPr/>
          <w:p>
            <w:pPr>
              <w:pStyle w:val="Compact"/>
              <w:jc w:val="left"/>
            </w:pPr>
            <w:r>
              <w:rPr>
                <w:bCs/>
                <w:b/>
              </w:rPr>
              <w:t xml:space="preserve">Annual Alpha Potential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Conservative scenario</w:t>
            </w:r>
          </w:p>
        </w:tc>
        <w:tc>
          <w:tcPr/>
          <w:p>
            <w:pPr>
              <w:pStyle w:val="Compact"/>
              <w:jc w:val="right"/>
            </w:pPr>
            <w:r>
              <w:t xml:space="preserve">$500K–$2M</w:t>
            </w:r>
          </w:p>
        </w:tc>
        <w:tc>
          <w:tcPr/>
          <w:p>
            <w:pPr>
              <w:pStyle w:val="Compact"/>
              <w:jc w:val="right"/>
            </w:pPr>
            <w:r>
              <w:t xml:space="preserve">$400K–$1.5M</w:t>
            </w:r>
          </w:p>
        </w:tc>
        <w:tc>
          <w:tcPr/>
          <w:p>
            <w:pPr>
              <w:pStyle w:val="Compact"/>
              <w:jc w:val="right"/>
            </w:pPr>
            <w:r>
              <w:t xml:space="preserve">$200K–$800K</w:t>
            </w:r>
          </w:p>
        </w:tc>
        <w:tc>
          <w:tcPr/>
          <w:p>
            <w:pPr>
              <w:pStyle w:val="Compact"/>
              <w:jc w:val="right"/>
            </w:pPr>
            <w:r>
              <w:t xml:space="preserve">$300K–$1M</w:t>
            </w:r>
          </w:p>
        </w:tc>
      </w:tr>
      <w:tr>
        <w:tc>
          <w:tcPr/>
          <w:p>
            <w:pPr>
              <w:pStyle w:val="Compact"/>
              <w:jc w:val="left"/>
            </w:pPr>
            <w:r>
              <w:t xml:space="preserve">Moderate scenario</w:t>
            </w:r>
          </w:p>
        </w:tc>
        <w:tc>
          <w:tcPr/>
          <w:p>
            <w:pPr>
              <w:pStyle w:val="Compact"/>
              <w:jc w:val="right"/>
            </w:pPr>
            <w:r>
              <w:t xml:space="preserve">$2M–$5M</w:t>
            </w:r>
          </w:p>
        </w:tc>
        <w:tc>
          <w:tcPr/>
          <w:p>
            <w:pPr>
              <w:pStyle w:val="Compact"/>
              <w:jc w:val="right"/>
            </w:pPr>
            <w:r>
              <w:t xml:space="preserve">$1M–$3M</w:t>
            </w:r>
          </w:p>
        </w:tc>
        <w:tc>
          <w:tcPr/>
          <w:p>
            <w:pPr>
              <w:pStyle w:val="Compact"/>
              <w:jc w:val="right"/>
            </w:pPr>
            <w:r>
              <w:t xml:space="preserve">$500K–$1.5M</w:t>
            </w:r>
          </w:p>
        </w:tc>
        <w:tc>
          <w:tcPr/>
          <w:p>
            <w:pPr>
              <w:pStyle w:val="Compact"/>
              <w:jc w:val="right"/>
            </w:pPr>
            <w:r>
              <w:t xml:space="preserve">$1M–$2.5M</w:t>
            </w:r>
          </w:p>
        </w:tc>
      </w:tr>
      <w:tr>
        <w:tc>
          <w:tcPr/>
          <w:p>
            <w:pPr>
              <w:pStyle w:val="Compact"/>
              <w:jc w:val="left"/>
            </w:pPr>
            <w:r>
              <w:t xml:space="preserve">Aggressive scenario</w:t>
            </w:r>
          </w:p>
        </w:tc>
        <w:tc>
          <w:tcPr/>
          <w:p>
            <w:pPr>
              <w:pStyle w:val="Compact"/>
              <w:jc w:val="right"/>
            </w:pPr>
            <w:r>
              <w:t xml:space="preserve">$5M+</w:t>
            </w:r>
          </w:p>
        </w:tc>
        <w:tc>
          <w:tcPr/>
          <w:p>
            <w:pPr>
              <w:pStyle w:val="Compact"/>
              <w:jc w:val="right"/>
            </w:pPr>
            <w:r>
              <w:t xml:space="preserve">$3M–$5M</w:t>
            </w:r>
          </w:p>
        </w:tc>
        <w:tc>
          <w:tcPr/>
          <w:p>
            <w:pPr>
              <w:pStyle w:val="Compact"/>
              <w:jc w:val="right"/>
            </w:pPr>
            <w:r>
              <w:t xml:space="preserve">$1M–$2M</w:t>
            </w:r>
          </w:p>
        </w:tc>
        <w:tc>
          <w:tcPr/>
          <w:p>
            <w:pPr>
              <w:pStyle w:val="Compact"/>
              <w:jc w:val="right"/>
            </w:pPr>
            <w:r>
              <w:t xml:space="preserve">$2M–$4M</w:t>
            </w:r>
          </w:p>
        </w:tc>
      </w:tr>
      <w:tr>
        <w:tc>
          <w:tcPr/>
          <w:p>
            <w:pPr>
              <w:pStyle w:val="Compact"/>
              <w:jc w:val="left"/>
            </w:pPr>
            <w:r>
              <w:rPr>
                <w:bCs/>
                <w:b/>
              </w:rPr>
              <w:t xml:space="preserve">Break-even Period</w:t>
            </w:r>
          </w:p>
        </w:tc>
        <w:tc>
          <w:tcPr/>
          <w:p>
            <w:pPr>
              <w:pStyle w:val="Compact"/>
              <w:jc w:val="right"/>
            </w:pPr>
            <w:r>
              <w:t xml:space="preserve">3–6 months</w:t>
            </w:r>
          </w:p>
        </w:tc>
        <w:tc>
          <w:tcPr/>
          <w:p>
            <w:pPr>
              <w:pStyle w:val="Compact"/>
              <w:jc w:val="right"/>
            </w:pPr>
            <w:r>
              <w:t xml:space="preserve">6–12 months</w:t>
            </w:r>
          </w:p>
        </w:tc>
        <w:tc>
          <w:tcPr/>
          <w:p>
            <w:pPr>
              <w:pStyle w:val="Compact"/>
              <w:jc w:val="right"/>
            </w:pPr>
            <w:r>
              <w:t xml:space="preserve">12–18 months</w:t>
            </w:r>
          </w:p>
        </w:tc>
        <w:tc>
          <w:tcPr/>
          <w:p>
            <w:pPr>
              <w:pStyle w:val="Compact"/>
              <w:jc w:val="right"/>
            </w:pPr>
            <w:r>
              <w:t xml:space="preserve">6–10 months</w:t>
            </w:r>
          </w:p>
        </w:tc>
      </w:tr>
    </w:tbl>
    <w:p>
      <w:pPr>
        <w:pStyle w:val="BodyText"/>
      </w:pPr>
      <w:r>
        <w:rPr>
          <w:iCs/>
          <w:i/>
        </w:rPr>
        <w:t xml:space="preserve">Note: Alpha estimates derived from ETF premium/discount data</w:t>
      </w:r>
      <w:r>
        <w:rPr>
          <w:iCs/>
          <w:i/>
        </w:rPr>
        <w:t xml:space="preserve"> </w:t>
      </w:r>
      <w:fldSimple w:instr="NOTEREF _Ref_Footnote_15 \h \f">
        <w:r>
          <w:rPr>
            <w:vertAlign w:val="superscript"/>
          </w:rPr>
          <w:t>15</w:t>
        </w:r>
      </w:fldSimple>
      <w:r>
        <w:rPr>
          <w:iCs/>
          <w:i/>
        </w:rPr>
        <w:t xml:space="preserve">, options market making throughput modeling</w:t>
      </w:r>
      <w:r>
        <w:rPr>
          <w:iCs/>
          <w:i/>
        </w:rPr>
        <w:t xml:space="preserve"> </w:t>
      </w:r>
      <w:fldSimple w:instr="NOTEREF _Ref_Footnote_8 \h \f">
        <w:r>
          <w:rPr>
            <w:vertAlign w:val="superscript"/>
          </w:rPr>
          <w:t>8</w:t>
        </w:r>
      </w:fldSimple>
      <w:r>
        <w:rPr>
          <w:iCs/>
          <w:i/>
        </w:rPr>
        <w:t xml:space="preserve">, and securities lending volume-weighted average fee economics</w:t>
      </w:r>
      <w:r>
        <w:rPr>
          <w:iCs/>
          <w:i/>
        </w:rPr>
        <w:t xml:space="preserve"> </w:t>
      </w:r>
      <w:fldSimple w:instr="NOTEREF _Ref_Footnote_4 \h \f">
        <w:r>
          <w:rPr>
            <w:vertAlign w:val="superscript"/>
          </w:rPr>
          <w:t>4</w:t>
        </w:r>
      </w:fldSimple>
      <w:r>
        <w:rPr>
          <w:iCs/>
          <w:i/>
        </w:rPr>
        <w:t xml:space="preserve">.</w:t>
      </w:r>
    </w:p>
    <w:p>
      <w:pPr>
        <w:pStyle w:val="BodyText"/>
      </w:pPr>
      <w:r>
        <w:t xml:space="preserve">The cost structure reveals that FPGA hardware itself represents a minor fraction of total investment. At $5,000–$15,000 per accelerator card</w:t>
      </w:r>
      <w:r>
        <w:t xml:space="preserve"> </w:t>
      </w:r>
      <w:fldSimple w:instr="NOTEREF _Ref_Footnote_1 \h \f">
        <w:r>
          <w:rPr>
            <w:vertAlign w:val="superscript"/>
          </w:rPr>
          <w:t>1</w:t>
        </w:r>
      </w:fldSimple>
      <w:r>
        <w:t xml:space="preserve">, a single successful arbitrage trade can fund the entire hardware procurement. The dominant cost is engineering talent: a senior FPGA engineer with SystemVerilog or VHDL expertise commands $300,000–$500,000 in all-in compensation at top-tier trading firms</w:t>
      </w:r>
      <w:r>
        <w:t xml:space="preserve"> </w:t>
      </w:r>
      <w:fldSimple w:instr="NOTEREF _Ref_Footnote_1 \h \f">
        <w:r>
          <w:rPr>
            <w:vertAlign w:val="superscript"/>
          </w:rPr>
          <w:t>1</w:t>
        </w:r>
      </w:fldSimple>
      <w:r>
        <w:t xml:space="preserve">, and each phase requires six months of dedicated engineering effort. High-Level Synthesis (HLS) frameworks — AMD Vitis, Exegy nxFramework, and Magmio’s SDK — reduce development time by 50–70% compared with hand-coded RTL, but the learning curve and debugging complexity remain significant barriers</w:t>
      </w:r>
      <w:r>
        <w:t xml:space="preserve"> </w:t>
      </w:r>
      <w:fldSimple w:instr="NOTEREF _Ref_Footnote_17 \h \f">
        <w:r>
          <w:rPr>
            <w:vertAlign w:val="superscript"/>
          </w:rPr>
          <w:t>17</w:t>
        </w:r>
      </w:fldSimple>
      <w:r>
        <w:t xml:space="preserve">.</w:t>
      </w:r>
    </w:p>
    <w:p>
      <w:pPr>
        <w:pStyle w:val="BodyText"/>
      </w:pPr>
      <w:r>
        <w:t xml:space="preserve">The total four-phase program requires approximately $1.8 million in capital and personnel expenditure over 24 months, with the bulk concentrated in the first 12 months as parallel phase execution overlaps engineering effort. This figure assumes the firm already maintains co-located infrastructure; greenfield co-location adds $5,000–$15,000 per month per venue</w:t>
      </w:r>
      <w:r>
        <w:t xml:space="preserve"> </w:t>
      </w:r>
      <w:fldSimple w:instr="NOTEREF _Ref_Footnote_1 \h \f">
        <w:r>
          <w:rPr>
            <w:vertAlign w:val="superscript"/>
          </w:rPr>
          <w:t>1</w:t>
        </w:r>
      </w:fldSimple>
      <w:r>
        <w:t xml:space="preserve">.</w:t>
      </w:r>
    </w:p>
    <w:bookmarkEnd w:id="78"/>
    <w:bookmarkStart w:id="79" w:name="quantified-benefits"/>
    <w:p>
      <w:pPr>
        <w:pStyle w:val="Heading4"/>
      </w:pPr>
      <w:r>
        <w:t xml:space="preserve">5.2.2 Quantified Benefits</w:t>
      </w:r>
    </w:p>
    <w:p>
      <w:pPr>
        <w:pStyle w:val="FirstParagraph"/>
      </w:pPr>
      <w:r>
        <w:t xml:space="preserve">The alpha potential varies dramatically by phase and market environment. Phase 1 (delta-one) offers the most immediate and quantifiable returns. During periods of elevated volatility — when the VIX exceeds 30 — average ETF premium/discount widens to 30–80 basis points for equity ETFs and 100–300 basis points for fixed-income ETFs</w:t>
      </w:r>
      <w:r>
        <w:t xml:space="preserve"> </w:t>
      </w:r>
      <w:fldSimple w:instr="NOTEREF _Ref_Footnote_15 \h \f">
        <w:r>
          <w:rPr>
            <w:vertAlign w:val="superscript"/>
          </w:rPr>
          <w:t>15</w:t>
        </w:r>
      </w:fldSimple>
      <w:r>
        <w:t xml:space="preserve">. A single successful arbitrage cycle on a 50,000-share creation unit generates $1,500–$4,000 in gross profit, and an FPGA-equipped desk can execute 20–50 such cycles per hour during volatile sessions versus 2–5 cycles for software-based competitors</w:t>
      </w:r>
      <w:r>
        <w:t xml:space="preserve"> </w:t>
      </w:r>
      <w:fldSimple w:instr="NOTEREF _Ref_Footnote_15 \h \f">
        <w:r>
          <w:rPr>
            <w:vertAlign w:val="superscript"/>
          </w:rPr>
          <w:t>15</w:t>
        </w:r>
      </w:fldSimple>
      <w:r>
        <w:t xml:space="preserve">. The microsecond edge is projected to be worth $1 million–$10 million+ annually for active multi-venue desks.</w:t>
      </w:r>
    </w:p>
    <w:p>
      <w:pPr>
        <w:pStyle w:val="BodyText"/>
      </w:pPr>
      <w:r>
        <w:t xml:space="preserve">Phase 2 (options Greeks) delivers value through wider quoting and lower risk rather than direct arbitrage profits. A market maker recalculating 40,000+ Greeks in under 10 microseconds can maintain tighter spreads with lower adverse selection risk, capturing bid-ask spread income that software-based competitors forfeit to stale-quote toxicity. Academic modeling suggests that reducing hedge latency from 100 microseconds to 500 nanoseconds cuts gamma slippage costs by 30–50% during volatile periods</w:t>
      </w:r>
      <w:r>
        <w:t xml:space="preserve"> </w:t>
      </w:r>
      <w:fldSimple w:instr="NOTEREF _Ref_Footnote_8 \h \f">
        <w:r>
          <w:rPr>
            <w:vertAlign w:val="superscript"/>
          </w:rPr>
          <w:t>8</w:t>
        </w:r>
      </w:fldSimple>
      <w:r>
        <w:t xml:space="preserve">.</w:t>
      </w:r>
    </w:p>
    <w:p>
      <w:pPr>
        <w:pStyle w:val="BodyText"/>
      </w:pPr>
      <w:r>
        <w:t xml:space="preserve">Phase 3 (securities lending) generates returns through faster locates and higher fill rates. A sub-microsecond locate engine enables high-frequency short-selling strategies that are currently impractical, opening a strategy class with no existing FPGA competition. The $2.6 trillion in securities on loan globally</w:t>
      </w:r>
      <w:r>
        <w:t xml:space="preserve"> </w:t>
      </w:r>
      <w:fldSimple w:instr="NOTEREF _Ref_Footnote_4 \h \f">
        <w:r>
          <w:rPr>
            <w:vertAlign w:val="superscript"/>
          </w:rPr>
          <w:t>4</w:t>
        </w:r>
      </w:fldSimple>
      <w:r>
        <w:t xml:space="preserve">represents a deep revenue pool where even marginal fill-rate improvements translate into material revenue.</w:t>
      </w:r>
    </w:p>
    <w:bookmarkEnd w:id="79"/>
    <w:bookmarkStart w:id="83" w:name="break-even-analysis"/>
    <w:p>
      <w:pPr>
        <w:pStyle w:val="Heading4"/>
      </w:pPr>
      <w:r>
        <w:t xml:space="preserve">5.2.3 Break-Even Analysis</w:t>
      </w:r>
    </w:p>
    <w:p>
      <w:pPr>
        <w:pStyle w:val="FirstParagraph"/>
      </w:pPr>
      <w:r>
        <w:t xml:space="preserve">The cumulative cash flow projection (Figure 5.1) illustrates the differing break-even dynamics across phases. Phase 1 (delta-one feed handler) reaches break-even at approximately 4 months due to low upfront cost and immediate alpha generation. Phase 2 (options Greeks) breaks even at approximately 9 months as the more complex development delays revenue recognition. Phase 3 (securities lending) extends to approximately 15 months given the custom API integration burden and the relationship-driven market structure where latency advantages translate into revenue more gradually. The combined portfolio breaks even at month 7, driven by the early profitability of Phase 1.</w:t>
      </w:r>
    </w:p>
    <w:p>
      <w:pPr>
        <w:pStyle w:val="CaptionedFigure"/>
      </w:pPr>
      <w:r>
        <w:drawing>
          <wp:inline>
            <wp:extent cx="5334000" cy="3082066"/>
            <wp:effectExtent b="0" l="0" r="0" t="0"/>
            <wp:docPr descr="FPGA Implementation Portfolio: Cumulative Cash Flow and Break-Even Analysis" title="" id="81" name="Picture"/>
            <a:graphic>
              <a:graphicData uri="http://schemas.openxmlformats.org/drawingml/2006/picture">
                <pic:pic>
                  <pic:nvPicPr>
                    <pic:cNvPr descr="fig_5_1_roi_breakeven.png" id="82" name="Picture"/>
                    <pic:cNvPicPr>
                      <a:picLocks noChangeArrowheads="1" noChangeAspect="1"/>
                    </pic:cNvPicPr>
                  </pic:nvPicPr>
                  <pic:blipFill>
                    <a:blip r:embed="rId80"/>
                    <a:stretch>
                      <a:fillRect/>
                    </a:stretch>
                  </pic:blipFill>
                  <pic:spPr bwMode="auto">
                    <a:xfrm>
                      <a:off x="0" y="0"/>
                      <a:ext cx="5334000" cy="3082066"/>
                    </a:xfrm>
                    <a:prstGeom prst="rect">
                      <a:avLst/>
                    </a:prstGeom>
                    <a:noFill/>
                    <a:ln w="9525">
                      <a:noFill/>
                      <a:headEnd/>
                      <a:tailEnd/>
                    </a:ln>
                  </pic:spPr>
                </pic:pic>
              </a:graphicData>
            </a:graphic>
          </wp:inline>
        </w:drawing>
      </w:r>
    </w:p>
    <w:p>
      <w:pPr>
        <w:pStyle w:val="ImageCaption"/>
      </w:pPr>
      <w:r>
        <w:t xml:space="preserve">FPGA Implementation Portfolio: Cumulative Cash Flow and Break-Even Analysis</w:t>
      </w:r>
    </w:p>
    <w:p>
      <w:pPr>
        <w:pStyle w:val="BodyText"/>
      </w:pPr>
      <w:r>
        <w:rPr>
          <w:iCs/>
          <w:i/>
        </w:rPr>
        <w:t xml:space="preserve">Figure 5.1: Cumulative net cash flow by implementation phase over a 24-month horizon. Phase 1 (delta-one) achieves break-even at Month 4; Phase 2 (options Greeks) at Month 9; Phase 3 (securities lending) at Month 15. The combined portfolio crosses break-even at Month 7. Assumptions: moderate volatility scenario with multi-strategy deployment across three trading desks.</w:t>
      </w:r>
    </w:p>
    <w:p>
      <w:pPr>
        <w:pStyle w:val="BodyText"/>
      </w:pPr>
      <w:r>
        <w:t xml:space="preserve">The chart demonstrates that portfolio-level execution substantially de-risks the program. By sequencing Phase 1 first, the delta-one desk generates positive cash flow that partially funds subsequent phases. Active delta-one desks typically achieve payback in under 6 months</w:t>
      </w:r>
      <w:r>
        <w:t xml:space="preserve"> </w:t>
      </w:r>
      <w:fldSimple w:instr="NOTEREF _Ref_Footnote_1 \h \f">
        <w:r>
          <w:rPr>
            <w:vertAlign w:val="superscript"/>
          </w:rPr>
          <w:t>1</w:t>
        </w:r>
      </w:fldSimple>
      <w:r>
        <w:t xml:space="preserve">; options market making deployments extend to 6–12 months depending on book size and volatility regime; securities lending (Phase 3) projects 12–18 months given the greenfield integration requirements. These timelines assume moderate volatility; elevated volatility compresses all break-even periods by 30–50% as arbitrage opportunities and quote volumes increase.</w:t>
      </w:r>
    </w:p>
    <w:bookmarkEnd w:id="83"/>
    <w:bookmarkEnd w:id="84"/>
    <w:bookmarkStart w:id="88" w:name="risk-factors"/>
    <w:p>
      <w:pPr>
        <w:pStyle w:val="Heading3"/>
      </w:pPr>
      <w:r>
        <w:t xml:space="preserve">5.3 Risk Factors</w:t>
      </w:r>
    </w:p>
    <w:bookmarkStart w:id="85" w:name="development-complexity"/>
    <w:p>
      <w:pPr>
        <w:pStyle w:val="Heading4"/>
      </w:pPr>
      <w:r>
        <w:t xml:space="preserve">5.3.1 Development Complexity</w:t>
      </w:r>
    </w:p>
    <w:p>
      <w:pPr>
        <w:pStyle w:val="FirstParagraph"/>
      </w:pPr>
      <w:r>
        <w:t xml:space="preserve">FPGA development imposes a fundamentally different engineering paradigm from software trading system development. Hardware Description Languages (HDLs) such as SystemVerilog and VHDL require explicit specification of clock domains, data paths, and resource allocation — concepts foreign to most software engineers. While High-Level Synthesis (HLS) tools including AMD Vitis and Exegy nxFramework enable C++ or OpenCL code to target FPGA fabric, the abstraction is leaky: performance-critical paths still require manual optimization, and HLS-generated designs typically achieve 60–80% of the efficiency of hand-coded RTL</w:t>
      </w:r>
      <w:r>
        <w:t xml:space="preserve"> </w:t>
      </w:r>
      <w:fldSimple w:instr="NOTEREF _Ref_Footnote_17 \h \f">
        <w:r>
          <w:rPr>
            <w:vertAlign w:val="superscript"/>
          </w:rPr>
          <w:t>17</w:t>
        </w:r>
      </w:fldSimple>
      <w:r>
        <w:t xml:space="preserve">.</w:t>
      </w:r>
    </w:p>
    <w:p>
      <w:pPr>
        <w:pStyle w:val="BodyText"/>
      </w:pPr>
      <w:r>
        <w:t xml:space="preserve">Debugging presents a particular challenge. Unlike software, where breakpoints and stack traces provide full visibility into execution state, FPGA debugging relies on limited on-chip logic analyzers and signal probes that consume scarce BRAM resources. A single design iteration — modifying logic, re-synthesizing, and re-deploying — can require hours of compilation time compared with seconds for software recompilation. This constraint makes rapid iteration impossible and demands a more rigorous upfront design process. Firms without existing FPGA expertise should budget an additional 3–6 months for team ramp-up before committing to production timelines.</w:t>
      </w:r>
    </w:p>
    <w:bookmarkEnd w:id="85"/>
    <w:bookmarkStart w:id="86" w:name="technology-risk"/>
    <w:p>
      <w:pPr>
        <w:pStyle w:val="Heading4"/>
      </w:pPr>
      <w:r>
        <w:t xml:space="preserve">5.3.2 Technology Risk</w:t>
      </w:r>
    </w:p>
    <w:p>
      <w:pPr>
        <w:pStyle w:val="FirstParagraph"/>
      </w:pPr>
      <w:r>
        <w:t xml:space="preserve">Two technology trends present long-term risk to FPGA-centric strategies. First, the largest high-frequency trading firms — Hudson River Trading, Jump Trading, and Citadel Securities — have begun migrating performance-critical components from FPGA to Application-Specific Integrated Circuit (ASIC) designs</w:t>
      </w:r>
      <w:r>
        <w:t xml:space="preserve"> </w:t>
      </w:r>
      <w:fldSimple w:instr="NOTEREF _Ref_Footnote_20 \h \f">
        <w:r>
          <w:rPr>
            <w:vertAlign w:val="superscript"/>
          </w:rPr>
          <w:t>20</w:t>
        </w:r>
      </w:fldSimple>
      <w:r>
        <w:t xml:space="preserve"> </w:t>
      </w:r>
      <w:fldSimple w:instr="NOTEREF _Ref_Footnote_21 \h \f">
        <w:r>
          <w:rPr>
            <w:vertAlign w:val="superscript"/>
          </w:rPr>
          <w:t>21</w:t>
        </w:r>
      </w:fldSimple>
      <w:r>
        <w:t xml:space="preserve">. ASICs offer 2–5× lower latency than FPGAs for fixed-function pipelines but require $10 million+ in non-recurring engineering costs and 18–24 month fabrication cycles</w:t>
      </w:r>
      <w:r>
        <w:t xml:space="preserve"> </w:t>
      </w:r>
      <w:fldSimple w:instr="NOTEREF _Ref_Footnote_20 \h \f">
        <w:r>
          <w:rPr>
            <w:vertAlign w:val="superscript"/>
          </w:rPr>
          <w:t>20</w:t>
        </w:r>
      </w:fldSimple>
      <w:r>
        <w:t xml:space="preserve">. For firms below the top tier, FPGAs remain the optimal latency-performance trade-off, but the window of competitive advantage narrows as ASIC-deploying competitors extract incremental performance.</w:t>
      </w:r>
    </w:p>
    <w:p>
      <w:pPr>
        <w:pStyle w:val="BodyText"/>
      </w:pPr>
      <w:r>
        <w:t xml:space="preserve">Second, vendor consolidation in the FPGA trading ecosystem raises platform risk. Exegy’s acquisition of Enyx (2023) and NovaSparks (January 2026)</w:t>
      </w:r>
      <w:r>
        <w:t xml:space="preserve"> </w:t>
      </w:r>
      <w:fldSimple w:instr="NOTEREF _Ref_Footnote_17 \h \f">
        <w:r>
          <w:rPr>
            <w:vertAlign w:val="superscript"/>
          </w:rPr>
          <w:t>17</w:t>
        </w:r>
      </w:fldSimple>
      <w:r>
        <w:t xml:space="preserve">has created a vertically integrated monopoly spanning feed handlers, execution gateways, and development frameworks. While this integration reduces interoperability challenges, it also concentrates pricing power and limits vendor choice. A firm building on the nxFramework today faces potential lock-in as Exegy controls an increasingly complete stack from FPGA IP cores to exchange connectivity.</w:t>
      </w:r>
    </w:p>
    <w:bookmarkEnd w:id="86"/>
    <w:bookmarkStart w:id="87" w:name="regulatory-risk"/>
    <w:p>
      <w:pPr>
        <w:pStyle w:val="Heading4"/>
      </w:pPr>
      <w:r>
        <w:t xml:space="preserve">5.3.3 Regulatory Risk</w:t>
      </w:r>
    </w:p>
    <w:p>
      <w:pPr>
        <w:pStyle w:val="FirstParagraph"/>
      </w:pPr>
      <w:r>
        <w:t xml:space="preserve">SEC Rule 15c3-5, the Market Access Rule, requires broker-dealers to implement pre-trade risk checks — including credit threshold verification, order size limits, and regulatory compliance filters — before order submission</w:t>
      </w:r>
      <w:r>
        <w:t xml:space="preserve"> </w:t>
      </w:r>
      <w:fldSimple w:instr="NOTEREF _Ref_Footnote_41 \h \f">
        <w:r>
          <w:rPr>
            <w:vertAlign w:val="superscript"/>
          </w:rPr>
          <w:t>41</w:t>
        </w:r>
      </w:fldSimple>
      <w:r>
        <w:t xml:space="preserve">. FPGA-based trading systems must embed these checks in hardware, where they execute at wire speed alongside the trading logic. Li et al. (2026) demonstrated a two-level pipelined FPGA risk architecture achieving deterministic risk validation in 180 nanoseconds</w:t>
      </w:r>
      <w:r>
        <w:t xml:space="preserve"> </w:t>
      </w:r>
      <w:fldSimple w:instr="NOTEREF _Ref_Footnote_41 \h \f">
        <w:r>
          <w:rPr>
            <w:vertAlign w:val="superscript"/>
          </w:rPr>
          <w:t>41</w:t>
        </w:r>
      </w:fldSimple>
      <w:r>
        <w:t xml:space="preserve">, but the regulatory requirement for auditability creates a documentation burden that hardware designs, with their limited logging capabilities, struggle to satisfy.</w:t>
      </w:r>
    </w:p>
    <w:p>
      <w:pPr>
        <w:pStyle w:val="BodyText"/>
      </w:pPr>
      <w:r>
        <w:t xml:space="preserve">The transition to T+1 settlement in the U.S. (May 2024) and the upcoming EU T+1 transition (targeted October 2027)</w:t>
      </w:r>
      <w:r>
        <w:t xml:space="preserve"> </w:t>
      </w:r>
      <w:fldSimple w:instr="NOTEREF _Ref_Footnote_34 \h \f">
        <w:r>
          <w:rPr>
            <w:vertAlign w:val="superscript"/>
          </w:rPr>
          <w:t>34</w:t>
        </w:r>
      </w:fldSimple>
      <w:r>
        <w:t xml:space="preserve"> </w:t>
      </w:r>
      <w:fldSimple w:instr="NOTEREF _Ref_Footnote_35 \h \f">
        <w:r>
          <w:rPr>
            <w:vertAlign w:val="superscript"/>
          </w:rPr>
          <w:t>35</w:t>
        </w:r>
      </w:fldSimple>
      <w:r>
        <w:t xml:space="preserve">compresses post-trade processing timelines, creating compliance deadlines that overlap with FPGA deployment schedules. Firms must ensure that hardware-accelerated trading and settlement systems can generate the audit trails, trade confirmations, and regulatory reports required under compressed settlement cycles. The EquiLend 1Source platform, which uses Digital Asset’s Daml smart contracts for settlement instruction management</w:t>
      </w:r>
      <w:r>
        <w:t xml:space="preserve"> </w:t>
      </w:r>
      <w:fldSimple w:instr="NOTEREF _Ref_Footnote_33 \h \f">
        <w:r>
          <w:rPr>
            <w:vertAlign w:val="superscript"/>
          </w:rPr>
          <w:t>33</w:t>
        </w:r>
      </w:fldSimple>
      <w:r>
        <w:t xml:space="preserve">, does not currently expose FPGA-compatible interfaces — a gap that Phase 3 implementations must bridge through custom middleware.</w:t>
      </w:r>
    </w:p>
    <w:p>
      <w:pPr>
        <w:pStyle w:val="BodyText"/>
      </w:pPr>
      <w:r>
        <w:t xml:space="preserve">The convergence of these risks — development complexity, technology obsolescence, and regulatory compliance — does not invalidate the FPGA investment thesis but demands disciplined phase-gate management. Each phase should proceed only after the prior phase demonstrates measurable latency reduction and the engineering team has documented the FPGA design for regulatory examination. The phased approach in Table 5.1 is structured precisely to contain these risks: Phase 1 validates the team’s FPGA capability on a well-understood problem before committing to the greenfield integration challenges of Phases 3 and 4.</w:t>
      </w:r>
    </w:p>
    <w:p>
      <w:r>
        <w:pict>
          <v:rect style="width:0;height:1.5pt" o:hralign="center" o:hrstd="t" o:hr="t"/>
        </w:pict>
      </w:r>
    </w:p>
    <w:bookmarkEnd w:id="87"/>
    <w:bookmarkEnd w:id="88"/>
    <w:bookmarkEnd w:id="89"/>
    <w:bookmarkStart w:id="95" w:name="conclusion"/>
    <w:p>
      <w:pPr>
        <w:pStyle w:val="Heading2"/>
      </w:pPr>
      <w:r>
        <w:t xml:space="preserve">6. Conclusion</w:t>
      </w:r>
    </w:p>
    <w:p>
      <w:pPr>
        <w:pStyle w:val="FirstParagraph"/>
      </w:pPr>
      <w:r>
        <w:t xml:space="preserve">The analysis across the preceding five chapters yields a domain-specific assessment of FPGA acceleration in trading infrastructure that is neither uniformly bullish nor dismissive. Each of the three application domains presents a distinct risk-reward profile, shaped by the maturity of existing deployments, the magnitude of achievable latency reduction, and the structural characteristics of the underlying market.</w:t>
      </w:r>
    </w:p>
    <w:bookmarkStart w:id="93" w:name="summary-assessment"/>
    <w:p>
      <w:pPr>
        <w:pStyle w:val="Heading3"/>
      </w:pPr>
      <w:r>
        <w:t xml:space="preserve">6.1 Summary Assessment</w:t>
      </w:r>
    </w:p>
    <w:bookmarkStart w:id="90" w:name="delta-one-proven-deployed-and-essential"/>
    <w:p>
      <w:pPr>
        <w:pStyle w:val="Heading4"/>
      </w:pPr>
      <w:r>
        <w:t xml:space="preserve">6.1.1 Delta-One: Proven, Deployed, and Essential</w:t>
      </w:r>
    </w:p>
    <w:p>
      <w:pPr>
        <w:pStyle w:val="FirstParagraph"/>
      </w:pPr>
      <w:r>
        <w:t xml:space="preserve">FPGA acceleration in delta-one trading has transitioned from competitive advantage to operational necessity. The evidence is unambiguous: the AMD Alveo UL3524 holds the STAC-T0 world record at 13.9 nanoseconds, a 49% improvement over the prior generation</w:t>
      </w:r>
      <w:r>
        <w:t xml:space="preserve"> </w:t>
      </w:r>
      <w:fldSimple w:instr="NOTEREF _Ref_Footnote_1 \h \f">
        <w:r>
          <w:rPr>
            <w:vertAlign w:val="superscript"/>
          </w:rPr>
          <w:t>1</w:t>
        </w:r>
      </w:fldSimple>
      <w:r>
        <w:t xml:space="preserve">; Exegy’s nxFeed processes market data from over 70 exchange feeds at sub-1.2-microsecond average latency</w:t>
      </w:r>
      <w:r>
        <w:t xml:space="preserve"> </w:t>
      </w:r>
      <w:fldSimple w:instr="NOTEREF _Ref_Footnote_1 \h \f">
        <w:r>
          <w:rPr>
            <w:vertAlign w:val="superscript"/>
          </w:rPr>
          <w:t>1</w:t>
        </w:r>
      </w:fldSimple>
      <w:r>
        <w:t xml:space="preserve">; and academic research confirms 4× latency reductions for feed handlers (12.8 microseconds to 2.6 microseconds) and sub-microsecond basket NAV calculation for 100-constituent indexes</w:t>
      </w:r>
      <w:r>
        <w:t xml:space="preserve"> </w:t>
      </w:r>
      <w:fldSimple w:instr="NOTEREF _Ref_Footnote_3 \h \f">
        <w:r>
          <w:rPr>
            <w:vertAlign w:val="superscript"/>
          </w:rPr>
          <w:t>3</w:t>
        </w:r>
      </w:fldSimple>
      <w:r>
        <w:t xml:space="preserve">. For index arbitrageurs and ETF market makers operating in an environment where OPRA delivers 44.8 million messages per second at the median</w:t>
      </w:r>
      <w:r>
        <w:t xml:space="preserve"> </w:t>
      </w:r>
      <w:fldSimple w:instr="NOTEREF _Ref_Footnote_26 \h \f">
        <w:r>
          <w:rPr>
            <w:vertAlign w:val="superscript"/>
          </w:rPr>
          <w:t>26</w:t>
        </w:r>
      </w:fldSimple>
      <w:r>
        <w:t xml:space="preserve">, these hardware-accelerated pipelines are no longer optional. Payback periods of under six months, derived from reduced slippage and improved fill rates, make the investment case straightforward. Active delta-one desks should adopt FPGA acceleration for feed handling, basket calculation, and order entry immediately.</w:t>
      </w:r>
    </w:p>
    <w:bookmarkEnd w:id="90"/>
    <w:bookmarkStart w:id="91" w:name="Xa4c5e52a7de3b1e91410303b818a2d16dd841f2"/>
    <w:p>
      <w:pPr>
        <w:pStyle w:val="Heading4"/>
      </w:pPr>
      <w:r>
        <w:t xml:space="preserve">6.1.2 Inventory Management: Highest Technical ROI</w:t>
      </w:r>
    </w:p>
    <w:p>
      <w:pPr>
        <w:pStyle w:val="FirstParagraph"/>
      </w:pPr>
      <w:r>
        <w:t xml:space="preserve">Options market makers face a computational burden that maps more directly onto FPGA architecture than any other workload in finance. A 10,000-series options book demands 40,000 or more individual Greek calculations on every tick</w:t>
      </w:r>
      <w:r>
        <w:t xml:space="preserve"> </w:t>
      </w:r>
      <w:fldSimple w:instr="NOTEREF _Ref_Footnote_8 \h \f">
        <w:r>
          <w:rPr>
            <w:vertAlign w:val="superscript"/>
          </w:rPr>
          <w:t>8</w:t>
        </w:r>
      </w:fldSimple>
      <w:r>
        <w:t xml:space="preserve">; FPGA-based parallel Black-Scholes pipelines can reduce full-portfolio risk updates from 1–5 milliseconds on CPU to under 10 microseconds—a speedup of 100–500×</w:t>
      </w:r>
      <w:r>
        <w:t xml:space="preserve"> </w:t>
      </w:r>
      <w:fldSimple w:instr="NOTEREF _Ref_Footnote_8 \h \f">
        <w:r>
          <w:rPr>
            <w:vertAlign w:val="superscript"/>
          </w:rPr>
          <w:t>8</w:t>
        </w:r>
      </w:fldSimple>
      <w:r>
        <w:t xml:space="preserve">. The auto-quoter pipeline, delta hedge trigger, and P&amp;L aggregation benefit commensurately, with order processing rates reaching 2 million orders per second at sub-500-nanosecond latency</w:t>
      </w:r>
      <w:r>
        <w:t xml:space="preserve"> </w:t>
      </w:r>
      <w:fldSimple w:instr="NOTEREF _Ref_Footnote_37 \h \f">
        <w:r>
          <w:rPr>
            <w:vertAlign w:val="superscript"/>
          </w:rPr>
          <w:t>37</w:t>
        </w:r>
      </w:fldSimple>
      <w:r>
        <w:t xml:space="preserve">. Because market maker profitability depends on the spread between theta income and gamma cost, and because faster hedging directly compresses the latter, the economic leverage of FPGA deployment in inventory management exceeds that of any other domain analyzed. This is the strategic investment priority for firms with meaningful options market-making operations.</w:t>
      </w:r>
    </w:p>
    <w:bookmarkEnd w:id="91"/>
    <w:bookmarkStart w:id="92" w:name="X93189a7c620cbd0234713b776ea1885a4477423"/>
    <w:p>
      <w:pPr>
        <w:pStyle w:val="Heading4"/>
      </w:pPr>
      <w:r>
        <w:t xml:space="preserve">6.1.3 Stock Loan: A Greenfield Opportunity with Selective Appeal</w:t>
      </w:r>
    </w:p>
    <w:p>
      <w:pPr>
        <w:pStyle w:val="FirstParagraph"/>
      </w:pPr>
      <w:r>
        <w:t xml:space="preserve">Securities lending presents the inverse profile: no documented FPGA deployments exist across the entire vendor ecosystem—EquiLend, FIS, ION, and TS Imagine all operate on software-native stacks</w:t>
      </w:r>
      <w:r>
        <w:t xml:space="preserve"> </w:t>
      </w:r>
      <w:fldSimple w:instr="NOTEREF _Ref_Footnote_10 \h \f">
        <w:r>
          <w:rPr>
            <w:vertAlign w:val="superscript"/>
          </w:rPr>
          <w:t>10</w:t>
        </w:r>
      </w:fldSimple>
      <w:r>
        <w:t xml:space="preserve"> </w:t>
      </w:r>
      <w:fldSimple w:instr="NOTEREF _Ref_Footnote_6 \h \f">
        <w:r>
          <w:rPr>
            <w:vertAlign w:val="superscript"/>
          </w:rPr>
          <w:t>6</w:t>
        </w:r>
      </w:fldSimple>
      <w:r>
        <w:t xml:space="preserve"> </w:t>
      </w:r>
      <w:fldSimple w:instr="NOTEREF _Ref_Footnote_14 \h \f">
        <w:r>
          <w:rPr>
            <w:vertAlign w:val="superscript"/>
          </w:rPr>
          <w:t>14</w:t>
        </w:r>
      </w:fldSimple>
      <w:r>
        <w:t xml:space="preserve"> </w:t>
      </w:r>
      <w:fldSimple w:instr="NOTEREF _Ref_Footnote_11 \h \f">
        <w:r>
          <w:rPr>
            <w:vertAlign w:val="superscript"/>
          </w:rPr>
          <w:t>11</w:t>
        </w:r>
      </w:fldSimple>
      <w:r>
        <w:t xml:space="preserve">—yet the market’s $2.6 trillion in on-loan inventory</w:t>
      </w:r>
      <w:r>
        <w:t xml:space="preserve"> </w:t>
      </w:r>
      <w:fldSimple w:instr="NOTEREF _Ref_Footnote_4 \h \f">
        <w:r>
          <w:rPr>
            <w:vertAlign w:val="superscript"/>
          </w:rPr>
          <w:t>4</w:t>
        </w:r>
      </w:fldSimple>
      <w:r>
        <w:t xml:space="preserve">and 50–100-millisecond locate response times</w:t>
      </w:r>
      <w:r>
        <w:t xml:space="preserve"> </w:t>
      </w:r>
      <w:fldSimple w:instr="NOTEREF _Ref_Footnote_6 \h \f">
        <w:r>
          <w:rPr>
            <w:vertAlign w:val="superscript"/>
          </w:rPr>
          <w:t>6</w:t>
        </w:r>
      </w:fldSimple>
      <w:r>
        <w:t xml:space="preserve">create a compelling theoretical case. A hardware-accelerated locate engine could compress inventory search and rate matching from milliseconds to microseconds—a 100× improvement with direct consequences for hard-to-borrow pricing accuracy. However, the relationship-driven nature of the market, where credit limits and counterparty trust often matter more than response latency, means FPGA deployment here is not a generic recommendation. It is best suited to firms with sufficient scale—large prime brokers and agency lenders processing thousands of locates per minute—to justify the fixed development cost.</w:t>
      </w:r>
    </w:p>
    <w:bookmarkEnd w:id="92"/>
    <w:bookmarkEnd w:id="93"/>
    <w:bookmarkStart w:id="94" w:name="a-forward-looking-view"/>
    <w:p>
      <w:pPr>
        <w:pStyle w:val="Heading3"/>
      </w:pPr>
      <w:r>
        <w:t xml:space="preserve">6.2 A Forward-Looking View</w:t>
      </w:r>
    </w:p>
    <w:p>
      <w:pPr>
        <w:pStyle w:val="FirstParagraph"/>
      </w:pPr>
      <w:r>
        <w:t xml:space="preserve">FPGA’s role in trading infrastructure is entering a new phase of democratization. As top-tier HFTs migrate the most latency-sensitive kernels to custom ASICs, programmable logic is becoming accessible to a broader set of participants through higher-level synthesis frameworks—AMD Vitis, Exegy nxFramework, and Magmio—that reduce the barrier from RTL expertise to algorithmic specification. The four-phase implementation roadmap outlined in Chapter 5, progressing from feed-handler acceleration (months 0–3) through basket NAV calculation (months 12+), projects break-even within 6–18 months depending on domain intensity. The technology is not a panacea: it demands specialized expertise, disciplined verification, and continuous maintenance. But for the specific computational signatures identified across delta-one execution, inventory management, and securities lending, FPGA acceleration offers latency reductions measured in orders of magnitude and payback periods measured in quarters. The question for trading desks is no longer whether programmable logic belongs in their infrastructure, but which kernels to accelerate first.</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Global Banking &amp; Finance Review. https://www.globalbankingandfinance.com/why-more-trading-firms-are-moving-to-fpga-for-low-latency-gains/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wematch.live. https://wematch.live/resource-posts/wematch-launches-smrt-matching-transforming-securities-lending-with-cutting-edge-technology/</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UCSC Directory of individual web sites. https://people.ucsc.edu/~hlitz/papers/hft_fpga.pdf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DataLend. https://datalend.com/securities-lending-101-understanding-market-metrics/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Securities Finance Times. https://www.securitiesfinancetimes.com/securitieslendingnews/technologyarticle.php?article_id=223664</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FIS Global. https://www.fisglobal.com/-/media/fisglobal/files/pdf/product-sheet/loanet-trading-and-inventory-management-product-sheet.pdf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Oyster Consulting. https://www.oysterllc.com/what-we-think/the-essentials-reg-sho-compliance/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Quantt. https://www.quantt.co.uk/resources/options-market-making-guide</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Finastra. https://www.finastra.com/sites/default/files/documents/2018/03/fact-sheet-delta-one.pdf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EquiLend. https://equilend.com/news/what-does-equilend-spire-do/</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TS Imagine. https://tsimagine.com/primeone/loansmart/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日本取引所グループ. https://www.jpx.co.jp/english/corporate/investor-relations/ir-library/events/tvdivq0000009f1z-att/JPX_IR_Day_2018_TSE_E.pdf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Securities Finance Times. https://www.securitiesfinancetimes.com/specialistfeatures/specialistfeature.php?specialist_id=999</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ICMA. https://www.icmagroup.org/assets/documents/Regulatory/FinTech/ICMA-FinTech-Mapping-Directory-250521.xlsm</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European Systemic Risk Board. https://www.esrb.europa.eu/pub/pdf/wp/esrb.wp59.en.pdf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clearstream.com. https://www.clearstream.com/clearstream-en/securities-services/collateral-lending-and-liquidity-solutions/lending-and-borrowing</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Wholesale Banking Societe Generale. https://wholesale.banking.societegenerale.com/en/news-insights/glossary/delta-one/</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Bank for International Settlements. https://www.bis.org/publ/qtrpdf/r_qt2103d.pdf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groww.in. https://groww.in/blog/etf-creation-and-redemption-process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Loqsea. https://loqseatech.com/resources/news-insights/what-front-office-risk-management-systems-really-do-for-commodity-traders/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Github. https://github.com/mrkingsleyobi/quantumedge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Insight for the Algorithmic Enterprise. https://docs.stacresearch.com/system/files/resource/files/STAC-Summit-16-Oct-2018-Algo-Logic.pdf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Grokipedia. https://grokipedia.com/page/Delta_one</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nyu.edu. https://archive.nyu.edu/bitstream/2451/27224/2/wpa94023.pdf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Umeå University. https://umu.diva-portal.org/smash/get/diva2:326894/FULLTEXT01</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databento.com. https://databento.com/microstructure/opra</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Pico. https://www.pico.net/blog/opra-96-line-expansion-the-big-boost-in-latency-and-infrastructure-requirements/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wikipedia.org. https://en.wikipedia.org/wiki/Options_Price_Reporting_Authority</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databento.com. https://databento.com/datasets/GLBX.MDP3</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NanoConda Journal. https://nanoconda.com/journal/markets/cme-trade-summary-vs-ilink-latency/</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magmio.com. https://www.magmio.com/product</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EquiLend. https://equilend.com/news/regulatory-evolution-prompts-a-shift-in-electronic-trading-behavior-in-securities-lending/</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EquiLend. https://equilend.com/news/real-time-inventory-management-with-equilend-spire-unlocking-advanced-functionality/</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Markets Media. https://www.marketsmedia.com/hardware-speeds-pre-trade-risk/</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Scribd. https://www.scribd.com/document/976855812/Trading-System-Paper-Final-Microsystem-Journal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Faculty of Business and Economics. https://fbe.unimelb.edu.au/__data/assets/pdf_file/0009/5199498/Options-Market-Makers.pdf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Investopedia. https://www.investopedia.com/terms/s/securitieslending.asp</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wikipedia.org. https://en.wikipedia.org/wiki/Index_arbitrage</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SEC.gov. https://www.sec.gov/investor/pubs/regsho.htm</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Medium. https://medium.com/@gwrx2005/hftperformance-an-open-source-framework-for-high-frequency-trading-system-benchmarking-and-803031fe7157</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Investopedia. https://www.investopedia.com/articles/forex/12/calculating-profits-and-losses-of-forex-trades.asp</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 Team Insight. https://a-teaminsight.com/blog/as-the-latest-fpga-technology-from-amd-sets-the-gold-standard-where-next-for-ultra-low-latency-trading/</w:t>
      </w:r>
      <w:bookmarkEnd w:id="1004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8" Target="media/rId28.png"/><Relationship Type="http://schemas.openxmlformats.org/officeDocument/2006/relationships/image" Id="rId24" Target="media/rId24.png"/><Relationship Type="http://schemas.openxmlformats.org/officeDocument/2006/relationships/image" Id="rId46" Target="media/rId46.png"/><Relationship Type="http://schemas.openxmlformats.org/officeDocument/2006/relationships/image" Id="rId80" Target="media/rId80.png"/><Relationship Type="http://schemas.openxmlformats.org/officeDocument/2006/relationships/image" Id="rId65" Target="media/rId65.png"/><Relationship Id="rId81"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2026-07-09T13:50:16Z</dcterms:created>
  <dcterms:modified xsi:type="dcterms:W3CDTF">2026-07-09T13:50:16Z</dcterms:modified>
</cp:coreProperties>
</file>

<file path=docProps/custom.xml><?xml version="1.0" encoding="utf-8"?>
<Properties xmlns="http://schemas.openxmlformats.org/officeDocument/2006/custom-properties" xmlns:vt="http://schemas.openxmlformats.org/officeDocument/2006/docPropsVTypes"/>
</file>