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F52" w:rsidRPr="00656F52" w:rsidRDefault="00656F52" w:rsidP="00656F52">
      <w:pPr>
        <w:widowControl/>
        <w:shd w:val="clear" w:color="auto" w:fill="FFFFFF"/>
        <w:jc w:val="left"/>
        <w:rPr>
          <w:rFonts w:ascii="Helvetica" w:eastAsia="宋体" w:hAnsi="Helvetica" w:cs="Helvetica"/>
          <w:color w:val="848484"/>
          <w:kern w:val="0"/>
          <w:szCs w:val="21"/>
        </w:rPr>
      </w:pPr>
      <w:proofErr w:type="gramStart"/>
      <w:r w:rsidRPr="00656F52">
        <w:rPr>
          <w:rFonts w:ascii="Helvetica" w:eastAsia="宋体" w:hAnsi="Helvetica" w:cs="Helvetica"/>
          <w:color w:val="848484"/>
          <w:kern w:val="0"/>
          <w:szCs w:val="21"/>
        </w:rPr>
        <w:t>获取四</w:t>
      </w:r>
      <w:proofErr w:type="gramEnd"/>
      <w:r w:rsidRPr="00656F52">
        <w:rPr>
          <w:rFonts w:ascii="Helvetica" w:eastAsia="宋体" w:hAnsi="Helvetica" w:cs="Helvetica"/>
          <w:color w:val="848484"/>
          <w:kern w:val="0"/>
          <w:szCs w:val="21"/>
        </w:rPr>
        <w:t>大期货交易所日行情信息，包括开高低收、成交量、成交金额、持仓量、结算价、主力合约标记等信息，</w:t>
      </w:r>
      <w:r w:rsidRPr="00656F52">
        <w:rPr>
          <w:rFonts w:ascii="Helvetica" w:eastAsia="宋体" w:hAnsi="Helvetica" w:cs="Helvetica"/>
          <w:color w:val="848484"/>
          <w:kern w:val="0"/>
          <w:szCs w:val="21"/>
        </w:rPr>
        <w:t xml:space="preserve"> </w:t>
      </w:r>
      <w:r w:rsidRPr="00656F52">
        <w:rPr>
          <w:rFonts w:ascii="Helvetica" w:eastAsia="宋体" w:hAnsi="Helvetica" w:cs="Helvetica"/>
          <w:color w:val="848484"/>
          <w:kern w:val="0"/>
          <w:szCs w:val="21"/>
        </w:rPr>
        <w:t>其中主力合约按持仓量计算，每日</w:t>
      </w:r>
      <w:r w:rsidRPr="00656F52">
        <w:rPr>
          <w:rFonts w:ascii="Helvetica" w:eastAsia="宋体" w:hAnsi="Helvetica" w:cs="Helvetica"/>
          <w:color w:val="848484"/>
          <w:kern w:val="0"/>
          <w:szCs w:val="21"/>
        </w:rPr>
        <w:t>16:00</w:t>
      </w:r>
      <w:r w:rsidRPr="00656F52">
        <w:rPr>
          <w:rFonts w:ascii="Helvetica" w:eastAsia="宋体" w:hAnsi="Helvetica" w:cs="Helvetica"/>
          <w:color w:val="848484"/>
          <w:kern w:val="0"/>
          <w:szCs w:val="21"/>
        </w:rPr>
        <w:t>更新。</w:t>
      </w:r>
    </w:p>
    <w:p w:rsidR="00656F52" w:rsidRPr="00656F52" w:rsidRDefault="00656F52" w:rsidP="00656F52">
      <w:pPr>
        <w:widowControl/>
        <w:shd w:val="clear" w:color="auto" w:fill="FFFFFF"/>
        <w:jc w:val="left"/>
        <w:outlineLvl w:val="3"/>
        <w:rPr>
          <w:rFonts w:ascii="inherit" w:eastAsia="宋体" w:hAnsi="inherit" w:cs="Helvetica" w:hint="eastAsia"/>
          <w:color w:val="000000"/>
          <w:kern w:val="0"/>
          <w:sz w:val="24"/>
          <w:szCs w:val="24"/>
        </w:rPr>
      </w:pPr>
      <w:r w:rsidRPr="00656F52">
        <w:rPr>
          <w:rFonts w:ascii="inherit" w:eastAsia="宋体" w:hAnsi="inherit" w:cs="Helvetica"/>
          <w:color w:val="000000"/>
          <w:kern w:val="0"/>
          <w:sz w:val="24"/>
          <w:szCs w:val="24"/>
        </w:rPr>
        <w:t>参数</w:t>
      </w:r>
    </w:p>
    <w:tbl>
      <w:tblPr>
        <w:tblW w:w="0" w:type="auto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721"/>
        <w:gridCol w:w="12157"/>
      </w:tblGrid>
      <w:tr w:rsidR="00656F52" w:rsidRPr="00656F52" w:rsidTr="00656F52">
        <w:trPr>
          <w:tblHeader/>
        </w:trPr>
        <w:tc>
          <w:tcPr>
            <w:tcW w:w="0" w:type="auto"/>
            <w:tcBorders>
              <w:top w:val="nil"/>
              <w:left w:val="single" w:sz="2" w:space="0" w:color="CCCCCC"/>
              <w:bottom w:val="single" w:sz="12" w:space="0" w:color="CCCCCC"/>
              <w:right w:val="single" w:sz="6" w:space="0" w:color="CCCCCC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名称</w:t>
            </w:r>
          </w:p>
        </w:tc>
        <w:tc>
          <w:tcPr>
            <w:tcW w:w="0" w:type="auto"/>
            <w:tcBorders>
              <w:top w:val="nil"/>
              <w:left w:val="single" w:sz="2" w:space="0" w:color="CCCCCC"/>
              <w:bottom w:val="single" w:sz="12" w:space="0" w:color="CCCCCC"/>
              <w:right w:val="single" w:sz="6" w:space="0" w:color="CCCCCC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sz="2" w:space="0" w:color="CCCCCC"/>
              <w:bottom w:val="single" w:sz="12" w:space="0" w:color="CCCCCC"/>
              <w:right w:val="single" w:sz="2" w:space="0" w:color="CCCCCC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描述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secID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通联编制的证券编码，格式是“交易代码.证券市场代码”，如000001.XSHE。 可传入证券交易代码使用</w:t>
            </w: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DataAPI.SecIDGet</w:t>
            </w:r>
            <w:proofErr w:type="spellEnd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接口获取到。,可以是列表,</w:t>
            </w: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secID</w:t>
            </w:r>
            <w:proofErr w:type="spellEnd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、ticker、</w:t>
            </w: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tradeDate</w:t>
            </w:r>
            <w:proofErr w:type="spellEnd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至少选择一个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ticker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合约交易代码，如'cu1106'（可多值输入）,可以是列表,</w:t>
            </w: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secID</w:t>
            </w:r>
            <w:proofErr w:type="spellEnd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、ticker、</w:t>
            </w: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tradeDate</w:t>
            </w:r>
            <w:proofErr w:type="spellEnd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至少选择一个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tradeDate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输入一个日期，不输入其他请求参数，可获取到一天全部期货合约日行情数据，输入格式“YYYYMMDD”,</w:t>
            </w: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secID</w:t>
            </w:r>
            <w:proofErr w:type="spellEnd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、ticker、</w:t>
            </w: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tradeDate</w:t>
            </w:r>
            <w:proofErr w:type="spellEnd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至少选择一个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beginDate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起始日期，输入格式“YYYYMMDD”,可空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endDate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截止日期，输入格式“YYYYMMDD”,可空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所需字段,可以是列表,可空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pandas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1表示返回 pandas data frame，0表示返回</w:t>
            </w: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csv</w:t>
            </w:r>
            <w:proofErr w:type="spellEnd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,可空</w:t>
            </w:r>
          </w:p>
        </w:tc>
      </w:tr>
    </w:tbl>
    <w:p w:rsidR="00656F52" w:rsidRPr="00656F52" w:rsidRDefault="00656F52" w:rsidP="00656F52">
      <w:pPr>
        <w:widowControl/>
        <w:shd w:val="clear" w:color="auto" w:fill="FFFFFF"/>
        <w:jc w:val="left"/>
        <w:outlineLvl w:val="3"/>
        <w:rPr>
          <w:rFonts w:ascii="inherit" w:eastAsia="宋体" w:hAnsi="inherit" w:cs="Helvetica" w:hint="eastAsia"/>
          <w:color w:val="000000"/>
          <w:kern w:val="0"/>
          <w:sz w:val="24"/>
          <w:szCs w:val="24"/>
        </w:rPr>
      </w:pPr>
      <w:r w:rsidRPr="00656F52">
        <w:rPr>
          <w:rFonts w:ascii="inherit" w:eastAsia="宋体" w:hAnsi="inherit" w:cs="Helvetica"/>
          <w:color w:val="000000"/>
          <w:kern w:val="0"/>
          <w:sz w:val="24"/>
          <w:szCs w:val="24"/>
        </w:rPr>
        <w:t>可选返回值</w:t>
      </w:r>
    </w:p>
    <w:tbl>
      <w:tblPr>
        <w:tblW w:w="0" w:type="auto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840"/>
        <w:gridCol w:w="11438"/>
      </w:tblGrid>
      <w:tr w:rsidR="00656F52" w:rsidRPr="00656F52" w:rsidTr="00656F52">
        <w:trPr>
          <w:tblHeader/>
        </w:trPr>
        <w:tc>
          <w:tcPr>
            <w:tcW w:w="0" w:type="auto"/>
            <w:tcBorders>
              <w:top w:val="nil"/>
              <w:left w:val="single" w:sz="2" w:space="0" w:color="CCCCCC"/>
              <w:bottom w:val="single" w:sz="12" w:space="0" w:color="CCCCCC"/>
              <w:right w:val="single" w:sz="6" w:space="0" w:color="CCCCCC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名称</w:t>
            </w:r>
          </w:p>
        </w:tc>
        <w:tc>
          <w:tcPr>
            <w:tcW w:w="0" w:type="auto"/>
            <w:tcBorders>
              <w:top w:val="nil"/>
              <w:left w:val="single" w:sz="2" w:space="0" w:color="CCCCCC"/>
              <w:bottom w:val="single" w:sz="12" w:space="0" w:color="CCCCCC"/>
              <w:right w:val="single" w:sz="6" w:space="0" w:color="CCCCCC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sz="2" w:space="0" w:color="CCCCCC"/>
              <w:bottom w:val="single" w:sz="12" w:space="0" w:color="CCCCCC"/>
              <w:right w:val="single" w:sz="2" w:space="0" w:color="CCCCCC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描述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secID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通联编制的证券编码，格式是“交易代码.证券市场代码”，如000001.XSHE。可传入证券交易代码使用</w:t>
            </w: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DataAPI.SecIDGet</w:t>
            </w:r>
            <w:proofErr w:type="spellEnd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接口获取到。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ticker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合约代码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exchangeCD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通联编制的证券市场编码。例如，XSHG-上海证券交易所；XSHE-深圳证券交易所；XIBE-中国银行间市场等。对应</w:t>
            </w: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DataAPI.SysCodeGet.codeTypeID</w:t>
            </w:r>
            <w:proofErr w:type="spellEnd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=10002。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secShortName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合约简称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tradeDate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交易日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contractObject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期货合约标的。例如，CU-阴极铜，AU-黄金。对应</w:t>
            </w: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DataAPI.SysCodeGet.codeTypeID</w:t>
            </w:r>
            <w:proofErr w:type="spellEnd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=60003。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contractMark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商品期货：L0-即将进入交割的合约L1-连</w:t>
            </w:r>
            <w:proofErr w:type="gram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一</w:t>
            </w:r>
            <w:proofErr w:type="gramEnd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合约（连续合约）L2-连二合约L3-连三合约L4-连四合约金融期货（四个合约）：L0-当月连续L1-下月连续L3-下季连续L6-隔季连续金融期货（三个合约）：L3-当季连续L6-下季连续L9-隔季连续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preSettlePrice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昨</w:t>
            </w:r>
            <w:proofErr w:type="gramEnd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结算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preClosePrice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昨</w:t>
            </w:r>
            <w:proofErr w:type="gramEnd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收盘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openPrice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今开盘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highestPrice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最高价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lowestPrice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最低价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closePrice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今收盘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settlePrice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结算价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turnoverVol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成交数量，国内期货成交量单位为手，国际期货成交量单位为张，黄金(T+D)与白银(T+D)成交量单位为千克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turnoverValue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成交金额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openInt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持仓量，国内期货持仓</w:t>
            </w:r>
            <w:proofErr w:type="gram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量单位</w:t>
            </w:r>
            <w:proofErr w:type="gramEnd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为手，国际期货持仓</w:t>
            </w:r>
            <w:proofErr w:type="gram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量单位</w:t>
            </w:r>
            <w:proofErr w:type="gramEnd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为张，黄金(T+D)与白银(T+D)持仓</w:t>
            </w:r>
            <w:proofErr w:type="gram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量单位</w:t>
            </w:r>
            <w:proofErr w:type="gramEnd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为千克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CHG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收盘价与昨结算价的差额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CHG1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今结算价与昨结算价的差额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CHGPct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涨跌幅。（收盘价-昨结算价）/昨结算价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bookmarkStart w:id="0" w:name="_GoBack"/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mainCon</w:t>
            </w:r>
            <w:bookmarkEnd w:id="0"/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是否主力</w:t>
            </w:r>
          </w:p>
        </w:tc>
      </w:tr>
      <w:tr w:rsidR="00656F52" w:rsidRPr="00656F52" w:rsidTr="00656F52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smainCon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F52" w:rsidRPr="00656F52" w:rsidRDefault="00656F52" w:rsidP="00656F52">
            <w:pPr>
              <w:widowControl/>
              <w:spacing w:after="3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56F52">
              <w:rPr>
                <w:rFonts w:ascii="宋体" w:eastAsia="宋体" w:hAnsi="宋体" w:cs="宋体"/>
                <w:kern w:val="0"/>
                <w:sz w:val="24"/>
                <w:szCs w:val="24"/>
              </w:rPr>
              <w:t>是否次主力</w:t>
            </w:r>
          </w:p>
        </w:tc>
      </w:tr>
    </w:tbl>
    <w:p w:rsidR="00D34EB0" w:rsidRDefault="00D34EB0">
      <w:pPr>
        <w:rPr>
          <w:rFonts w:hint="eastAsia"/>
        </w:rPr>
      </w:pPr>
    </w:p>
    <w:p w:rsidR="00224719" w:rsidRDefault="00224719">
      <w:pPr>
        <w:rPr>
          <w:rFonts w:hint="eastAsia"/>
        </w:rPr>
      </w:pPr>
    </w:p>
    <w:p w:rsidR="00224719" w:rsidRDefault="00692EDA">
      <w:pPr>
        <w:rPr>
          <w:rFonts w:hint="eastAsia"/>
        </w:rPr>
      </w:pPr>
      <w:r>
        <w:rPr>
          <w:rFonts w:hint="eastAsia"/>
        </w:rPr>
        <w:t>基础信息表</w:t>
      </w:r>
    </w:p>
    <w:p w:rsidR="00692EDA" w:rsidRDefault="00692EDA" w:rsidP="00692EDA">
      <w:pPr>
        <w:shd w:val="clear" w:color="auto" w:fill="FFFFFF"/>
        <w:rPr>
          <w:rFonts w:ascii="Helvetica" w:hAnsi="Helvetica" w:cs="Helvetica"/>
          <w:color w:val="848484"/>
          <w:szCs w:val="21"/>
        </w:rPr>
      </w:pPr>
      <w:r>
        <w:rPr>
          <w:rFonts w:ascii="Helvetica" w:hAnsi="Helvetica" w:cs="Helvetica"/>
          <w:color w:val="848484"/>
          <w:szCs w:val="21"/>
        </w:rPr>
        <w:t>获取国内四大期货交易所期货合约的基本要素信息，包括合约名称、合约代码、合约类型、合约标的、报价单位、最小变动价位、涨跌停板幅度、交易货币、合约乘数、交易保证金、上市日期、最后交易日、交割日期、交割方式、交易手续费、交割手续费、挂牌基准价、合约状态等。</w:t>
      </w:r>
    </w:p>
    <w:p w:rsidR="00692EDA" w:rsidRDefault="00692EDA" w:rsidP="00692EDA">
      <w:pPr>
        <w:pStyle w:val="4"/>
        <w:shd w:val="clear" w:color="auto" w:fill="FFFFFF"/>
        <w:spacing w:before="0" w:beforeAutospacing="0" w:after="150" w:afterAutospacing="0"/>
        <w:rPr>
          <w:rFonts w:ascii="inherit" w:hAnsi="inherit" w:cs="Helvetica"/>
          <w:b w:val="0"/>
          <w:bCs w:val="0"/>
          <w:color w:val="000000"/>
        </w:rPr>
      </w:pPr>
      <w:r>
        <w:rPr>
          <w:rFonts w:ascii="inherit" w:hAnsi="inherit" w:cs="Helvetica"/>
          <w:b w:val="0"/>
          <w:bCs w:val="0"/>
          <w:color w:val="000000"/>
        </w:rPr>
        <w:t>参数</w:t>
      </w:r>
    </w:p>
    <w:tbl>
      <w:tblPr>
        <w:tblW w:w="0" w:type="auto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564"/>
        <w:gridCol w:w="12125"/>
      </w:tblGrid>
      <w:tr w:rsidR="00692EDA" w:rsidTr="00692EDA">
        <w:trPr>
          <w:tblHeader/>
        </w:trPr>
        <w:tc>
          <w:tcPr>
            <w:tcW w:w="0" w:type="auto"/>
            <w:tcBorders>
              <w:top w:val="nil"/>
              <w:left w:val="single" w:sz="2" w:space="0" w:color="CCCCCC"/>
              <w:bottom w:val="single" w:sz="12" w:space="0" w:color="CCCCCC"/>
              <w:right w:val="single" w:sz="6" w:space="0" w:color="CCCCCC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nil"/>
              <w:left w:val="single" w:sz="2" w:space="0" w:color="CCCCCC"/>
              <w:bottom w:val="single" w:sz="12" w:space="0" w:color="CCCCCC"/>
              <w:right w:val="single" w:sz="6" w:space="0" w:color="CCCCCC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sz="2" w:space="0" w:color="CCCCCC"/>
              <w:bottom w:val="single" w:sz="12" w:space="0" w:color="CCCCCC"/>
              <w:right w:val="single" w:sz="2" w:space="0" w:color="CCCCCC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描述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secID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合约内部编码，可通过交易代码和证券类型在</w:t>
            </w:r>
            <w:proofErr w:type="spellStart"/>
            <w:r>
              <w:t>DataAPI.SecIDGet</w:t>
            </w:r>
            <w:proofErr w:type="spellEnd"/>
            <w:r>
              <w:t>获取到。</w:t>
            </w:r>
            <w:r>
              <w:t>,</w:t>
            </w:r>
            <w:r>
              <w:t>可以是列表</w:t>
            </w:r>
            <w:r>
              <w:t>,</w:t>
            </w:r>
            <w:proofErr w:type="spellStart"/>
            <w:r>
              <w:t>secID</w:t>
            </w:r>
            <w:proofErr w:type="spellEnd"/>
            <w:r>
              <w:t>、</w:t>
            </w:r>
            <w:r>
              <w:t>ticker</w:t>
            </w:r>
            <w:r>
              <w:t>、</w:t>
            </w:r>
            <w:proofErr w:type="spellStart"/>
            <w:r>
              <w:t>exchangeCD</w:t>
            </w:r>
            <w:proofErr w:type="spellEnd"/>
            <w:r>
              <w:t>、</w:t>
            </w:r>
            <w:proofErr w:type="spellStart"/>
            <w:r>
              <w:t>contractStatus</w:t>
            </w:r>
            <w:proofErr w:type="spellEnd"/>
            <w:r>
              <w:t>至少选择一个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ticker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合约交易代码，如</w:t>
            </w:r>
            <w:r>
              <w:t>'cu1106',</w:t>
            </w:r>
            <w:r>
              <w:t>可以是列表</w:t>
            </w:r>
            <w:r>
              <w:t>,</w:t>
            </w:r>
            <w:proofErr w:type="spellStart"/>
            <w:r>
              <w:t>secID</w:t>
            </w:r>
            <w:proofErr w:type="spellEnd"/>
            <w:r>
              <w:t>、</w:t>
            </w:r>
            <w:r>
              <w:t>ticker</w:t>
            </w:r>
            <w:r>
              <w:t>、</w:t>
            </w:r>
            <w:proofErr w:type="spellStart"/>
            <w:r>
              <w:t>exchangeCD</w:t>
            </w:r>
            <w:proofErr w:type="spellEnd"/>
            <w:r>
              <w:t>、</w:t>
            </w:r>
            <w:proofErr w:type="spellStart"/>
            <w:r>
              <w:t>contractStatus</w:t>
            </w:r>
            <w:proofErr w:type="spellEnd"/>
            <w:r>
              <w:t>至少选择一个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lastRenderedPageBreak/>
              <w:t>exchangeCD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通联编制的证券市场编码。</w:t>
            </w:r>
            <w:r>
              <w:t>XZCE-</w:t>
            </w:r>
            <w:r>
              <w:t>郑州商品交易所，</w:t>
            </w:r>
            <w:r>
              <w:t xml:space="preserve"> CCFX-</w:t>
            </w:r>
            <w:r>
              <w:t>中国金融期货交易所，</w:t>
            </w:r>
            <w:r>
              <w:t xml:space="preserve"> XSGE-</w:t>
            </w:r>
            <w:r>
              <w:t>上海期货交易所，</w:t>
            </w:r>
            <w:r>
              <w:t>XDCE-</w:t>
            </w:r>
            <w:r>
              <w:t>大连期货交易所。对应</w:t>
            </w:r>
            <w:proofErr w:type="spellStart"/>
            <w:r>
              <w:t>DataAPI.SysCodeGet.codeTypeID</w:t>
            </w:r>
            <w:proofErr w:type="spellEnd"/>
            <w:r>
              <w:t>=10002</w:t>
            </w:r>
            <w:r>
              <w:t>。</w:t>
            </w:r>
            <w:r>
              <w:t>,</w:t>
            </w:r>
            <w:r>
              <w:t>可以是列表</w:t>
            </w:r>
            <w:r>
              <w:t>,</w:t>
            </w:r>
            <w:proofErr w:type="spellStart"/>
            <w:r>
              <w:t>secID</w:t>
            </w:r>
            <w:proofErr w:type="spellEnd"/>
            <w:r>
              <w:t>、</w:t>
            </w:r>
            <w:r>
              <w:t>ticker</w:t>
            </w:r>
            <w:r>
              <w:t>、</w:t>
            </w:r>
            <w:proofErr w:type="spellStart"/>
            <w:r>
              <w:t>exchangeCD</w:t>
            </w:r>
            <w:proofErr w:type="spellEnd"/>
            <w:r>
              <w:t>、</w:t>
            </w:r>
            <w:proofErr w:type="spellStart"/>
            <w:r>
              <w:t>contractStatus</w:t>
            </w:r>
            <w:proofErr w:type="spellEnd"/>
            <w:r>
              <w:t>至少选择一个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contractStatus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期货合约状态。</w:t>
            </w:r>
            <w:r>
              <w:t>L-</w:t>
            </w:r>
            <w:r>
              <w:t>上市；</w:t>
            </w:r>
            <w:r>
              <w:t>DE-</w:t>
            </w:r>
            <w:r>
              <w:t>终止上市。对应</w:t>
            </w:r>
            <w:proofErr w:type="spellStart"/>
            <w:r>
              <w:t>DataAPI.SysCodeGet.codeTypeID</w:t>
            </w:r>
            <w:proofErr w:type="spellEnd"/>
            <w:r>
              <w:t>=10005</w:t>
            </w:r>
            <w:r>
              <w:t>。</w:t>
            </w:r>
            <w:r>
              <w:t>,</w:t>
            </w:r>
            <w:r>
              <w:t>可以是列表</w:t>
            </w:r>
            <w:r>
              <w:t>,</w:t>
            </w:r>
            <w:proofErr w:type="spellStart"/>
            <w:r>
              <w:t>secID</w:t>
            </w:r>
            <w:proofErr w:type="spellEnd"/>
            <w:r>
              <w:t>、</w:t>
            </w:r>
            <w:r>
              <w:t>ticker</w:t>
            </w:r>
            <w:r>
              <w:t>、</w:t>
            </w:r>
            <w:proofErr w:type="spellStart"/>
            <w:r>
              <w:t>exchangeCD</w:t>
            </w:r>
            <w:proofErr w:type="spellEnd"/>
            <w:r>
              <w:t>、</w:t>
            </w:r>
            <w:proofErr w:type="spellStart"/>
            <w:r>
              <w:t>contractStatus</w:t>
            </w:r>
            <w:proofErr w:type="spellEnd"/>
            <w:r>
              <w:t>至少选择一个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contractObject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期货合约标的。例如，</w:t>
            </w:r>
            <w:r>
              <w:t>CU-</w:t>
            </w:r>
            <w:r>
              <w:t>阴极铜，</w:t>
            </w:r>
            <w:r>
              <w:t>AU-</w:t>
            </w:r>
            <w:r>
              <w:t>黄金。对应</w:t>
            </w:r>
            <w:proofErr w:type="spellStart"/>
            <w:r>
              <w:t>DataAPI.SysCodeGet.codeTypeID</w:t>
            </w:r>
            <w:proofErr w:type="spellEnd"/>
            <w:r>
              <w:t>=60003</w:t>
            </w:r>
            <w:r>
              <w:t>。</w:t>
            </w:r>
            <w:r>
              <w:t>,</w:t>
            </w:r>
            <w:r>
              <w:t>可以是列表</w:t>
            </w:r>
            <w:r>
              <w:t>,</w:t>
            </w:r>
            <w:r>
              <w:t>可空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所需字段</w:t>
            </w:r>
            <w:r>
              <w:t>,</w:t>
            </w:r>
            <w:r>
              <w:t>可以是列表</w:t>
            </w:r>
            <w:r>
              <w:t>,</w:t>
            </w:r>
            <w:r>
              <w:t>可空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pandas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1</w:t>
            </w:r>
            <w:r>
              <w:t>表示返回</w:t>
            </w:r>
            <w:r>
              <w:t xml:space="preserve"> pandas data frame</w:t>
            </w:r>
            <w:r>
              <w:t>，</w:t>
            </w:r>
            <w:r>
              <w:t>0</w:t>
            </w:r>
            <w:r>
              <w:t>表示返回</w:t>
            </w:r>
            <w:proofErr w:type="spellStart"/>
            <w:r>
              <w:t>csv</w:t>
            </w:r>
            <w:proofErr w:type="spellEnd"/>
            <w:r>
              <w:t>,</w:t>
            </w:r>
            <w:r>
              <w:t>可空</w:t>
            </w:r>
          </w:p>
        </w:tc>
      </w:tr>
    </w:tbl>
    <w:p w:rsidR="00692EDA" w:rsidRDefault="00692EDA" w:rsidP="00692EDA">
      <w:pPr>
        <w:pStyle w:val="4"/>
        <w:shd w:val="clear" w:color="auto" w:fill="FFFFFF"/>
        <w:spacing w:before="0" w:beforeAutospacing="0" w:after="150" w:afterAutospacing="0"/>
        <w:rPr>
          <w:rFonts w:ascii="inherit" w:hAnsi="inherit" w:cs="Helvetica"/>
          <w:b w:val="0"/>
          <w:bCs w:val="0"/>
          <w:color w:val="000000"/>
        </w:rPr>
      </w:pPr>
      <w:r>
        <w:rPr>
          <w:rFonts w:ascii="inherit" w:hAnsi="inherit" w:cs="Helvetica"/>
          <w:b w:val="0"/>
          <w:bCs w:val="0"/>
          <w:color w:val="000000"/>
        </w:rPr>
        <w:t>可选返回值</w:t>
      </w:r>
    </w:p>
    <w:tbl>
      <w:tblPr>
        <w:tblW w:w="0" w:type="auto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652"/>
        <w:gridCol w:w="11778"/>
      </w:tblGrid>
      <w:tr w:rsidR="00692EDA" w:rsidTr="00692EDA">
        <w:trPr>
          <w:tblHeader/>
        </w:trPr>
        <w:tc>
          <w:tcPr>
            <w:tcW w:w="0" w:type="auto"/>
            <w:tcBorders>
              <w:top w:val="nil"/>
              <w:left w:val="single" w:sz="2" w:space="0" w:color="CCCCCC"/>
              <w:bottom w:val="single" w:sz="12" w:space="0" w:color="CCCCCC"/>
              <w:right w:val="single" w:sz="6" w:space="0" w:color="CCCCCC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nil"/>
              <w:left w:val="single" w:sz="2" w:space="0" w:color="CCCCCC"/>
              <w:bottom w:val="single" w:sz="12" w:space="0" w:color="CCCCCC"/>
              <w:right w:val="single" w:sz="6" w:space="0" w:color="CCCCCC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sz="2" w:space="0" w:color="CCCCCC"/>
              <w:bottom w:val="single" w:sz="12" w:space="0" w:color="CCCCCC"/>
              <w:right w:val="single" w:sz="2" w:space="0" w:color="CCCCCC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描述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lastRenderedPageBreak/>
              <w:t>secID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合约内部编码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listDate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合约上市日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secFullName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合约全称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secShortName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合约简称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ticker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合约代码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exchangeCD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通联编制的证券市场编码。</w:t>
            </w:r>
            <w:r>
              <w:t>XZCE-</w:t>
            </w:r>
            <w:r>
              <w:t>郑州商品交易所，</w:t>
            </w:r>
            <w:r>
              <w:t xml:space="preserve"> CCFX-</w:t>
            </w:r>
            <w:r>
              <w:t>中国金融期货交易所，</w:t>
            </w:r>
            <w:r>
              <w:t xml:space="preserve"> XSGE-</w:t>
            </w:r>
            <w:r>
              <w:t>上海期货交易所，</w:t>
            </w:r>
            <w:r>
              <w:t>XDCE-</w:t>
            </w:r>
            <w:r>
              <w:t>大连期货交易所。对应</w:t>
            </w:r>
            <w:proofErr w:type="spellStart"/>
            <w:r>
              <w:t>DataAPI.SysCodeGet.codeTypeID</w:t>
            </w:r>
            <w:proofErr w:type="spellEnd"/>
            <w:r>
              <w:t>=10002</w:t>
            </w:r>
            <w:r>
              <w:t>。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contractType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期货合约类型。</w:t>
            </w:r>
            <w:r>
              <w:t>CF-</w:t>
            </w:r>
            <w:r>
              <w:t>商品期货，</w:t>
            </w:r>
            <w:r>
              <w:t>FEF-</w:t>
            </w:r>
            <w:r>
              <w:t>外汇期货，</w:t>
            </w:r>
            <w:r>
              <w:t>IF-</w:t>
            </w:r>
            <w:r>
              <w:t>股指期货，</w:t>
            </w:r>
            <w:r>
              <w:t>IRF-</w:t>
            </w:r>
            <w:r>
              <w:t>利率期货。对应</w:t>
            </w:r>
            <w:proofErr w:type="spellStart"/>
            <w:r>
              <w:t>DataAPI.SysCodeGet.codeTypeID</w:t>
            </w:r>
            <w:proofErr w:type="spellEnd"/>
            <w:r>
              <w:t>=60001</w:t>
            </w:r>
            <w:r>
              <w:t>。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lastRenderedPageBreak/>
              <w:t>contractObject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期货合约标的。例如，</w:t>
            </w:r>
            <w:r>
              <w:t>CU-</w:t>
            </w:r>
            <w:r>
              <w:t>阴极铜，</w:t>
            </w:r>
            <w:r>
              <w:t>AU-</w:t>
            </w:r>
            <w:r>
              <w:t>黄金等。对应</w:t>
            </w:r>
            <w:proofErr w:type="spellStart"/>
            <w:r>
              <w:t>DataAPI.SysCodeGet.codeTypeID</w:t>
            </w:r>
            <w:proofErr w:type="spellEnd"/>
            <w:r>
              <w:t>=60003</w:t>
            </w:r>
            <w:r>
              <w:t>。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priceUnit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报价单位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minChgPriceNum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最小变动价位</w:t>
            </w:r>
            <w:r>
              <w:t>(</w:t>
            </w:r>
            <w:r>
              <w:t>数值</w:t>
            </w:r>
            <w:r>
              <w:t>)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minChgPriceUnit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最小变动价位</w:t>
            </w:r>
            <w:r>
              <w:t>(</w:t>
            </w:r>
            <w:r>
              <w:t>单位</w:t>
            </w:r>
            <w:r>
              <w:t>)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priceValidDecimal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行情有效小数位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limitUpNum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涨停板幅度</w:t>
            </w:r>
            <w:r>
              <w:t>(</w:t>
            </w:r>
            <w:r>
              <w:t>数值</w:t>
            </w:r>
            <w:r>
              <w:t>)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limitUpUnit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涨停板幅度</w:t>
            </w:r>
            <w:r>
              <w:t>(</w:t>
            </w:r>
            <w:r>
              <w:t>单位</w:t>
            </w:r>
            <w:r>
              <w:t>)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limitDownNum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跌停板幅度</w:t>
            </w:r>
            <w:r>
              <w:t>(</w:t>
            </w:r>
            <w:r>
              <w:t>数值</w:t>
            </w:r>
            <w:r>
              <w:t>)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lastRenderedPageBreak/>
              <w:t>limitDownUnit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跌停板幅度</w:t>
            </w:r>
            <w:r>
              <w:t>(</w:t>
            </w:r>
            <w:r>
              <w:t>单位</w:t>
            </w:r>
            <w:r>
              <w:t>)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transCurrCD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交易货币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contMultNum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合约乘数</w:t>
            </w:r>
            <w:r>
              <w:t>(</w:t>
            </w:r>
            <w:r>
              <w:t>数值</w:t>
            </w:r>
            <w:r>
              <w:t>)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contMultUnit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合约乘数</w:t>
            </w:r>
            <w:r>
              <w:t>(</w:t>
            </w:r>
            <w:r>
              <w:t>单位</w:t>
            </w:r>
            <w:r>
              <w:t>)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tradeMarginRatio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交易保证金</w:t>
            </w:r>
            <w:r>
              <w:t>(%)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deliYear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gramStart"/>
            <w:r>
              <w:t>交割年</w:t>
            </w:r>
            <w:proofErr w:type="gramEnd"/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deliMonth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交割月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lastTradeDate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最后交易日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lastRenderedPageBreak/>
              <w:t>firstDeliDate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开始交割日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lastDeliDate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最后交割日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deliMethod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交割方式。</w:t>
            </w:r>
            <w:r>
              <w:t>P-</w:t>
            </w:r>
            <w:r>
              <w:t>实物交割，</w:t>
            </w:r>
            <w:r>
              <w:t>C-</w:t>
            </w:r>
            <w:r>
              <w:t>现金结算。对应</w:t>
            </w:r>
            <w:proofErr w:type="spellStart"/>
            <w:r>
              <w:t>DataAPI.SysCodeGet.codeTypeID</w:t>
            </w:r>
            <w:proofErr w:type="spellEnd"/>
            <w:r>
              <w:t>=60002</w:t>
            </w:r>
            <w:r>
              <w:t>。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deliGrade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交割品级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tradeCommiNum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交易手续费</w:t>
            </w:r>
            <w:r>
              <w:t>(</w:t>
            </w:r>
            <w:r>
              <w:t>数值</w:t>
            </w:r>
            <w:r>
              <w:t>)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tradeCommiUnit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交易手续费</w:t>
            </w:r>
            <w:r>
              <w:t>(</w:t>
            </w:r>
            <w:r>
              <w:t>单位</w:t>
            </w:r>
            <w:r>
              <w:t>)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deliCommiNum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交割手续费</w:t>
            </w:r>
            <w:r>
              <w:t>(</w:t>
            </w:r>
            <w:r>
              <w:t>数值</w:t>
            </w:r>
            <w:r>
              <w:t>)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deliCommiUnit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交割手续费</w:t>
            </w:r>
            <w:r>
              <w:t>(</w:t>
            </w:r>
            <w:r>
              <w:t>单位</w:t>
            </w:r>
            <w:r>
              <w:t>)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lastRenderedPageBreak/>
              <w:t>listBasisPrice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挂牌基准价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settPriceMethod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当日结算价计算方式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deliPriceMethod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交割结算价计算方式</w:t>
            </w:r>
          </w:p>
        </w:tc>
      </w:tr>
      <w:tr w:rsidR="00692EDA" w:rsidTr="00692EDA"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contractStatus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2EDA" w:rsidRDefault="00692EDA">
            <w:pPr>
              <w:spacing w:after="300"/>
              <w:rPr>
                <w:rFonts w:ascii="宋体" w:eastAsia="宋体" w:hAnsi="宋体" w:cs="宋体"/>
                <w:sz w:val="24"/>
                <w:szCs w:val="24"/>
              </w:rPr>
            </w:pPr>
            <w:r>
              <w:t>期货合约状态。</w:t>
            </w:r>
            <w:r>
              <w:t>L-</w:t>
            </w:r>
            <w:r>
              <w:t>上市；</w:t>
            </w:r>
            <w:r>
              <w:t>DE-</w:t>
            </w:r>
            <w:r>
              <w:t>终止上市。对应</w:t>
            </w:r>
            <w:proofErr w:type="spellStart"/>
            <w:r>
              <w:t>DataAPI.SysCodeGet.codeTypeID</w:t>
            </w:r>
            <w:proofErr w:type="spellEnd"/>
            <w:r>
              <w:t>=10005</w:t>
            </w:r>
            <w:r>
              <w:t>。</w:t>
            </w:r>
          </w:p>
        </w:tc>
      </w:tr>
    </w:tbl>
    <w:p w:rsidR="00692EDA" w:rsidRDefault="00692EDA">
      <w:pPr>
        <w:rPr>
          <w:rFonts w:hint="eastAsia"/>
        </w:rPr>
      </w:pPr>
    </w:p>
    <w:sectPr w:rsidR="00692EDA" w:rsidSect="00656F5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4719" w:rsidRDefault="00224719" w:rsidP="00224719">
      <w:r>
        <w:separator/>
      </w:r>
    </w:p>
  </w:endnote>
  <w:endnote w:type="continuationSeparator" w:id="0">
    <w:p w:rsidR="00224719" w:rsidRDefault="00224719" w:rsidP="00224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4719" w:rsidRDefault="00224719" w:rsidP="00224719">
      <w:r>
        <w:separator/>
      </w:r>
    </w:p>
  </w:footnote>
  <w:footnote w:type="continuationSeparator" w:id="0">
    <w:p w:rsidR="00224719" w:rsidRDefault="00224719" w:rsidP="002247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C98"/>
    <w:rsid w:val="00224719"/>
    <w:rsid w:val="00656F52"/>
    <w:rsid w:val="00692EDA"/>
    <w:rsid w:val="00803A3D"/>
    <w:rsid w:val="00CF3C98"/>
    <w:rsid w:val="00D3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Char"/>
    <w:uiPriority w:val="9"/>
    <w:qFormat/>
    <w:rsid w:val="00656F5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标题 4 Char"/>
    <w:basedOn w:val="a0"/>
    <w:link w:val="4"/>
    <w:uiPriority w:val="9"/>
    <w:rsid w:val="00656F52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2247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2471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247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2471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Char"/>
    <w:uiPriority w:val="9"/>
    <w:qFormat/>
    <w:rsid w:val="00656F5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标题 4 Char"/>
    <w:basedOn w:val="a0"/>
    <w:link w:val="4"/>
    <w:uiPriority w:val="9"/>
    <w:rsid w:val="00656F52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2247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2471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247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247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98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181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90886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2419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80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66581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5197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525</Words>
  <Characters>2993</Characters>
  <Application>Microsoft Office Word</Application>
  <DocSecurity>0</DocSecurity>
  <Lines>24</Lines>
  <Paragraphs>7</Paragraphs>
  <ScaleCrop>false</ScaleCrop>
  <Company>halei</Company>
  <LinksUpToDate>false</LinksUpToDate>
  <CharactersWithSpaces>3511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guorongdu</dc:creator>
  <cp:keywords/>
  <dc:description/>
  <cp:lastModifiedBy>guorongdu</cp:lastModifiedBy>
  <cp:revision>4</cp:revision>
  <dcterms:created xsi:type="dcterms:W3CDTF">2019-06-05T12:42:00Z</dcterms:created>
  <dcterms:modified xsi:type="dcterms:W3CDTF">2019-06-05T15:35:00Z</dcterms:modified>
</cp:coreProperties>
</file>