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40"/>
      </w:pPr>
    </w:p>
    <w:p>
      <w:pPr>
        <w:spacing w:after="360"/>
      </w:pPr>
      <w:r>
        <w:rPr>
          <w:rFonts w:ascii="Microsoft YaHei" w:hAnsi="Microsoft YaHei" w:eastAsia="Microsoft YaHei"/>
          <w:b/>
          <w:color w:val="176F68"/>
          <w:sz w:val="20"/>
        </w:rPr>
        <w:t>知行实验室  COURSE ASSISTANT</w:t>
      </w:r>
    </w:p>
    <w:p>
      <w:pPr>
        <w:pStyle w:val="Title"/>
        <w:keepNext/>
      </w:pPr>
      <w:r>
        <w:t>知行课程助手界面设计说明</w:t>
      </w:r>
    </w:p>
    <w:p>
      <w:pPr>
        <w:spacing w:after="760"/>
      </w:pPr>
      <w:r>
        <w:rPr>
          <w:rFonts w:ascii="Microsoft YaHei" w:hAnsi="Microsoft YaHei" w:eastAsia="Microsoft YaHei"/>
          <w:color w:val="4F5C62"/>
          <w:sz w:val="26"/>
        </w:rPr>
        <w:t>信息架构 视觉系统 交互状态与响应式规则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28"/>
        <w:gridCol w:w="7056"/>
      </w:tblGrid>
      <w:tr>
        <w:tc>
          <w:tcPr>
            <w:tcW w:type="dxa" w:w="4997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EE5B32"/>
                <w:sz w:val="19"/>
              </w:rPr>
              <w:t>适用对象</w:t>
            </w:r>
          </w:p>
        </w:tc>
        <w:tc>
          <w:tcPr>
            <w:tcW w:type="dxa" w:w="4997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26"/>
                <w:sz w:val="21"/>
              </w:rPr>
              <w:t>产品设计人员 前端开发人员 项目验收人员</w:t>
            </w:r>
          </w:p>
        </w:tc>
      </w:tr>
      <w:tr>
        <w:tc>
          <w:tcPr>
            <w:tcW w:type="dxa" w:w="4997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EE5B32"/>
                <w:sz w:val="19"/>
              </w:rPr>
              <w:t>文档版本</w:t>
            </w:r>
          </w:p>
        </w:tc>
        <w:tc>
          <w:tcPr>
            <w:tcW w:type="dxa" w:w="4997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26"/>
                <w:sz w:val="21"/>
              </w:rPr>
              <w:t>交付版 1.0</w:t>
            </w:r>
          </w:p>
        </w:tc>
      </w:tr>
      <w:tr>
        <w:tc>
          <w:tcPr>
            <w:tcW w:type="dxa" w:w="4997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EE5B32"/>
                <w:sz w:val="19"/>
              </w:rPr>
              <w:t>编制日期</w:t>
            </w:r>
          </w:p>
        </w:tc>
        <w:tc>
          <w:tcPr>
            <w:tcW w:type="dxa" w:w="4997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72026"/>
                <w:sz w:val="21"/>
              </w:rPr>
              <w:t>2026 年 10 月</w:t>
            </w:r>
          </w:p>
        </w:tc>
      </w:tr>
    </w:tbl>
    <w:p>
      <w:pPr>
        <w:spacing w:after="2400"/>
      </w:pPr>
    </w:p>
    <w:p>
      <w:pPr>
        <w:jc w:val="right"/>
      </w:pPr>
      <w:r>
        <w:rPr>
          <w:rFonts w:ascii="Microsoft YaHei" w:hAnsi="Microsoft YaHei" w:eastAsia="Microsoft YaHei"/>
          <w:b/>
          <w:color w:val="176F68"/>
          <w:sz w:val="24"/>
        </w:rPr>
        <w:t>学习  实践  反馈  改进</w:t>
      </w:r>
    </w:p>
    <w:p>
      <w:r>
        <w:br w:type="page"/>
      </w:r>
    </w:p>
    <w:p>
      <w:pPr>
        <w:pStyle w:val="Heading1"/>
        <w:pageBreakBefore w:val="0"/>
      </w:pPr>
      <w:r>
        <w:t>一 设计目标</w:t>
      </w:r>
    </w:p>
    <w:p>
      <w:pPr>
        <w:spacing w:after="280"/>
      </w:pPr>
      <w:r>
        <w:rPr>
          <w:rFonts w:ascii="Microsoft YaHei" w:hAnsi="Microsoft YaHei" w:eastAsia="Microsoft YaHei"/>
          <w:color w:val="172026"/>
          <w:sz w:val="22"/>
        </w:rPr>
        <w:t>界面以学生学习路径为主线，将课程问答、项目选择、模块知识介绍、代码提交、结果反馈和版本复盘组织为单页流程。页面避免突出底层技术和版本信息，首页保持课程助手主题，具体案例只在模块卡片和评测区中出现。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让学生先理解任务，再提交代码并查看可解释反馈。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让新增后端案例自动形成模块入口，前端不为每个案例单独制作首页。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让 AI 问答、AI 模块导览和 AI 点评与案例执行逻辑解耦。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让桌面端和移动端都能完成提问、选择、上传、查看和比较。</w:t>
      </w:r>
    </w:p>
    <w:p>
      <w:pPr>
        <w:pStyle w:val="Heading1"/>
        <w:pageBreakBefore w:val="0"/>
      </w:pPr>
      <w:r>
        <w:t>二 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36"/>
        <w:gridCol w:w="2088"/>
        <w:gridCol w:w="3672"/>
        <w:gridCol w:w="3168"/>
      </w:tblGrid>
      <w:tr>
        <w:trPr>
          <w:tblHeader w:val="true"/>
        </w:trPr>
        <w:tc>
          <w:tcPr>
            <w:tcW w:type="dxa" w:w="2498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顺序</w:t>
            </w:r>
          </w:p>
        </w:tc>
        <w:tc>
          <w:tcPr>
            <w:tcW w:type="dxa" w:w="2498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界面区域</w:t>
            </w:r>
          </w:p>
        </w:tc>
        <w:tc>
          <w:tcPr>
            <w:tcW w:type="dxa" w:w="2498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主要任务</w:t>
            </w:r>
          </w:p>
        </w:tc>
        <w:tc>
          <w:tcPr>
            <w:tcW w:type="dxa" w:w="2498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数据来源</w:t>
            </w:r>
          </w:p>
        </w:tc>
      </w:tr>
      <w:tr>
        <w:tc>
          <w:tcPr>
            <w:tcW w:type="dxa" w:w="9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01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课程主题首页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了解产品定位并跳转到项目列表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静态页面内容</w:t>
            </w:r>
          </w:p>
        </w:tc>
      </w:tr>
      <w:tr>
        <w:tc>
          <w:tcPr>
            <w:tcW w:type="dxa" w:w="936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02</w:t>
            </w:r>
          </w:p>
        </w:tc>
        <w:tc>
          <w:tcPr>
            <w:tcW w:type="dxa" w:w="2088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AI 课程助手</w:t>
            </w:r>
          </w:p>
        </w:tc>
        <w:tc>
          <w:tcPr>
            <w:tcW w:type="dxa" w:w="3672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学习问答与上下文引导</w:t>
            </w:r>
          </w:p>
        </w:tc>
        <w:tc>
          <w:tcPr>
            <w:tcW w:type="dxa" w:w="3168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Spark 模型与浏览器聊天历史</w:t>
            </w:r>
          </w:p>
        </w:tc>
      </w:tr>
      <w:tr>
        <w:tc>
          <w:tcPr>
            <w:tcW w:type="dxa" w:w="9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03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项目代码评测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查看由后端注册的模块入口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GET /api/v1/cases</w:t>
            </w:r>
          </w:p>
        </w:tc>
      </w:tr>
      <w:tr>
        <w:tc>
          <w:tcPr>
            <w:tcW w:type="dxa" w:w="936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导览</w:t>
            </w:r>
          </w:p>
        </w:tc>
        <w:tc>
          <w:tcPr>
            <w:tcW w:type="dxa" w:w="2088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模块知识导览</w:t>
            </w:r>
          </w:p>
        </w:tc>
        <w:tc>
          <w:tcPr>
            <w:tcW w:type="dxa" w:w="3672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显示 100 字以内知识点介绍</w:t>
            </w:r>
          </w:p>
        </w:tc>
        <w:tc>
          <w:tcPr>
            <w:tcW w:type="dxa" w:w="3168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POST /api/v1/assistant/module-introduction</w:t>
            </w:r>
          </w:p>
        </w:tc>
      </w:tr>
      <w:tr>
        <w:tc>
          <w:tcPr>
            <w:tcW w:type="dxa" w:w="9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04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项目评测区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上传文件并发起评测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POST /api/v1/execute</w:t>
            </w:r>
          </w:p>
        </w:tc>
      </w:tr>
      <w:tr>
        <w:tc>
          <w:tcPr>
            <w:tcW w:type="dxa" w:w="936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结果</w:t>
            </w:r>
          </w:p>
        </w:tc>
        <w:tc>
          <w:tcPr>
            <w:tcW w:type="dxa" w:w="2088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评测结果</w:t>
            </w:r>
          </w:p>
        </w:tc>
        <w:tc>
          <w:tcPr>
            <w:tcW w:type="dxa" w:w="3672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查看分数 证据 建议与 CSV</w:t>
            </w:r>
          </w:p>
        </w:tc>
        <w:tc>
          <w:tcPr>
            <w:tcW w:type="dxa" w:w="3168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标准结果 JSON 与 code-review</w:t>
            </w:r>
          </w:p>
        </w:tc>
      </w:tr>
      <w:tr>
        <w:tc>
          <w:tcPr>
            <w:tcW w:type="dxa" w:w="9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05</w:t>
            </w:r>
          </w:p>
        </w:tc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我的提交记录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回看历史并比较版本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浏览器 IndexedDB</w:t>
            </w:r>
          </w:p>
        </w:tc>
      </w:tr>
    </w:tbl>
    <w:p>
      <w:pPr>
        <w:spacing w:after="40"/>
      </w:pPr>
    </w:p>
    <w:p>
      <w:pPr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2690854"/>
            <wp:docPr id="1" name="Picture 1" descr="图 1 课程助手主题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90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4F5C62"/>
          <w:sz w:val="17"/>
        </w:rPr>
        <w:t>图 1 课程助手主题首页</w:t>
      </w:r>
    </w:p>
    <w:p>
      <w:pPr>
        <w:pStyle w:val="Heading1"/>
        <w:pageBreakBefore/>
      </w:pPr>
      <w:r>
        <w:t>三 视觉设计系统</w:t>
      </w:r>
    </w:p>
    <w:p>
      <w:pPr>
        <w:pStyle w:val="Heading1"/>
        <w:pageBreakBefore w:val="0"/>
      </w:pPr>
      <w:r>
        <w:t>三点一 色彩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584"/>
        <w:gridCol w:w="1728"/>
        <w:gridCol w:w="5832"/>
      </w:tblGrid>
      <w:tr>
        <w:trPr>
          <w:tblHeader w:val="true"/>
        </w:trPr>
        <w:tc>
          <w:tcPr>
            <w:tcW w:type="dxa" w:w="3331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角色</w:t>
            </w:r>
          </w:p>
        </w:tc>
        <w:tc>
          <w:tcPr>
            <w:tcW w:type="dxa" w:w="3331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色值</w:t>
            </w:r>
          </w:p>
        </w:tc>
        <w:tc>
          <w:tcPr>
            <w:tcW w:type="dxa" w:w="3331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使用位置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墨黑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#172026</w:t>
            </w:r>
          </w:p>
        </w:tc>
        <w:tc>
          <w:tcPr>
            <w:tcW w:type="dxa" w:w="58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正文 主按钮 深色面板</w:t>
            </w:r>
          </w:p>
        </w:tc>
      </w:tr>
      <w:tr>
        <w:tc>
          <w:tcPr>
            <w:tcW w:type="dxa" w:w="1584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柔和灰</w:t>
            </w:r>
          </w:p>
        </w:tc>
        <w:tc>
          <w:tcPr>
            <w:tcW w:type="dxa" w:w="1728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#4F5C62</w:t>
            </w:r>
          </w:p>
        </w:tc>
        <w:tc>
          <w:tcPr>
            <w:tcW w:type="dxa" w:w="5832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说明文字 辅助信息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纸张色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#F3F0E8</w:t>
            </w:r>
          </w:p>
        </w:tc>
        <w:tc>
          <w:tcPr>
            <w:tcW w:type="dxa" w:w="58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页面主背景</w:t>
            </w:r>
          </w:p>
        </w:tc>
      </w:tr>
      <w:tr>
        <w:tc>
          <w:tcPr>
            <w:tcW w:type="dxa" w:w="1584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暖白</w:t>
            </w:r>
          </w:p>
        </w:tc>
        <w:tc>
          <w:tcPr>
            <w:tcW w:type="dxa" w:w="1728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#FFFDF8</w:t>
            </w:r>
          </w:p>
        </w:tc>
        <w:tc>
          <w:tcPr>
            <w:tcW w:type="dxa" w:w="5832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聊天卡片 模块卡片 内容面板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橙色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#EE5B32</w:t>
            </w:r>
          </w:p>
        </w:tc>
        <w:tc>
          <w:tcPr>
            <w:tcW w:type="dxa" w:w="58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重点标题 提交按钮 警告状态</w:t>
            </w:r>
          </w:p>
        </w:tc>
      </w:tr>
      <w:tr>
        <w:tc>
          <w:tcPr>
            <w:tcW w:type="dxa" w:w="1584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青绿色</w:t>
            </w:r>
          </w:p>
        </w:tc>
        <w:tc>
          <w:tcPr>
            <w:tcW w:type="dxa" w:w="1728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#176F68</w:t>
            </w:r>
          </w:p>
        </w:tc>
        <w:tc>
          <w:tcPr>
            <w:tcW w:type="dxa" w:w="5832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章节编号 导览标签 通过状态</w:t>
            </w:r>
          </w:p>
        </w:tc>
      </w:tr>
      <w:t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黄色</w:t>
            </w:r>
          </w:p>
        </w:tc>
        <w:tc>
          <w:tcPr>
            <w:tcW w:type="dxa" w:w="17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#F3C14B</w:t>
            </w:r>
          </w:p>
        </w:tc>
        <w:tc>
          <w:tcPr>
            <w:tcW w:type="dxa" w:w="58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辅助图形与轻量提醒</w:t>
            </w:r>
          </w:p>
        </w:tc>
      </w:tr>
    </w:tbl>
    <w:p>
      <w:pPr>
        <w:spacing w:after="40"/>
      </w:pPr>
    </w:p>
    <w:p>
      <w:pPr>
        <w:pStyle w:val="Heading1"/>
        <w:pageBreakBefore w:val="0"/>
      </w:pPr>
      <w:r>
        <w:t>三点二 字体与层级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正文使用 Microsoft YaHei、PingFang SC、Noto Sans CJK SC 等无衬线字体，保证中文界面清晰。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主标题和重要数字使用 Georgia 与宋体系衬线字体，建立课程刊物式视觉层次。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首页主标题采用 clamp 规则，在桌面端形成大字号视觉锚点，在窄屏上自动缩放。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英文眉题使用大写、加粗和宽字距，只承担章节标识，不承载关键操作信息。</w:t>
      </w:r>
    </w:p>
    <w:p>
      <w:pPr>
        <w:pStyle w:val="Heading1"/>
        <w:pageBreakBefore w:val="0"/>
      </w:pPr>
      <w:r>
        <w:t>三点三 网格与形状</w:t>
      </w:r>
    </w:p>
    <w:p>
      <w:r>
        <w:rPr>
          <w:rFonts w:ascii="Microsoft YaHei" w:hAnsi="Microsoft YaHei" w:eastAsia="Microsoft YaHei"/>
        </w:rPr>
        <w:t>页面背景使用 52 像素方格，透明度较低，用于呼应实验记录纸。卡片采用细边框和小圆角，主要内容宽度限制为 1380 像素。橙色、青绿色和深色几何块用于区分操作、学习提示和内容层级。</w:t>
      </w:r>
    </w:p>
    <w:p>
      <w:pPr>
        <w:pStyle w:val="Heading1"/>
        <w:pageBreakBefore w:val="0"/>
      </w:pPr>
      <w:r>
        <w:t>四 核心界面组件</w:t>
      </w:r>
    </w:p>
    <w:p>
      <w:pPr>
        <w:pStyle w:val="Heading1"/>
        <w:pageBreakBefore w:val="0"/>
      </w:pPr>
      <w:r>
        <w:t>四点一 顶部栏和连接状态</w:t>
      </w:r>
    </w:p>
    <w:p>
      <w:r>
        <w:rPr>
          <w:rFonts w:ascii="Microsoft YaHei" w:hAnsi="Microsoft YaHei" w:eastAsia="Microsoft YaHei"/>
        </w:rPr>
        <w:t>顶部栏左侧显示知行实验室品牌，右侧只保留状态圆点。圆点为绿色时表示后端可用，为红色时表示不可用，点击可重新请求 health 接口。可见文字被移除后，title 和 aria-label 继续向鼠标与辅助技术说明状态。</w:t>
      </w:r>
    </w:p>
    <w:p>
      <w:pPr>
        <w:pStyle w:val="Heading1"/>
        <w:pageBreakBefore w:val="0"/>
      </w:pPr>
      <w:r>
        <w:t>四点二 AI 课程助手</w:t>
      </w:r>
    </w:p>
    <w:p>
      <w:r>
        <w:rPr>
          <w:rFonts w:ascii="Microsoft YaHei" w:hAnsi="Microsoft YaHei" w:eastAsia="Microsoft YaHei"/>
        </w:rPr>
        <w:t>聊天区位于首页标题与项目代码评测之间。左侧仅保留问字标记，右侧扩大对话空间。工具栏显示助手状态和当前模块，输入区提供快捷问题、文本框、发送按钮和删除聊天记录按钮。</w:t>
      </w:r>
    </w:p>
    <w:p>
      <w:pPr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74920" cy="3644381"/>
            <wp:docPr id="2" name="Picture 2" descr="图 2 AI 课程助手组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sta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64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4F5C62"/>
          <w:sz w:val="17"/>
        </w:rPr>
        <w:t>图 2 AI 课程助手组件</w:t>
      </w:r>
    </w:p>
    <w:p>
      <w:pPr>
        <w:pStyle w:val="Heading1"/>
        <w:pageBreakBefore w:val="0"/>
      </w:pPr>
      <w:r>
        <w:t>四点三 项目模块卡片</w:t>
      </w:r>
    </w:p>
    <w:p>
      <w:r>
        <w:rPr>
          <w:rFonts w:ascii="Microsoft YaHei" w:hAnsi="Microsoft YaHei" w:eastAsia="Microsoft YaHei"/>
        </w:rPr>
        <w:t>模块卡片由后端案例注册表生成，采用三列桌面网格。卡片展示任务编号、课程、模块名称、简介和进入箭头。新增案例后，无需修改首页结构即可出现新入口。</w:t>
      </w:r>
    </w:p>
    <w:p>
      <w:pPr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3072782"/>
            <wp:docPr id="3" name="Picture 3" descr="图 3 项目模块卡片和知识导览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07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4F5C62"/>
          <w:sz w:val="17"/>
        </w:rPr>
        <w:t>图 3 项目模块卡片和知识导览位置</w:t>
      </w:r>
    </w:p>
    <w:p>
      <w:pPr>
        <w:pStyle w:val="Heading1"/>
        <w:pageBreakBefore/>
      </w:pPr>
      <w:r>
        <w:t>五 项目评测区设计</w:t>
      </w:r>
    </w:p>
    <w:p>
      <w:r>
        <w:rPr>
          <w:rFonts w:ascii="Microsoft YaHei" w:hAnsi="Microsoft YaHei" w:eastAsia="Microsoft YaHei"/>
        </w:rPr>
        <w:t>评测区采用左右分栏。左栏说明案例课程、目标和评测内容；右栏承载动态输入表单。案例 3 的输入 schema 声明为 Python 文件模式，因此右栏显示拖放上传区、文件约束、安全提示和提交按钮。</w:t>
      </w:r>
    </w:p>
    <w:p>
      <w:pPr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5907554"/>
            <wp:docPr id="4" name="Picture 4" descr="图 4 项目评测区与本机提交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07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4F5C62"/>
          <w:sz w:val="17"/>
        </w:rPr>
        <w:t>图 4 项目评测区与本机提交记录</w:t>
      </w:r>
    </w:p>
    <w:p>
      <w:pPr>
        <w:pStyle w:val="Heading1"/>
        <w:pageBreakBefore w:val="0"/>
      </w:pPr>
      <w:r>
        <w:t>五点一 输入状态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56"/>
        <w:gridCol w:w="4320"/>
        <w:gridCol w:w="3168"/>
      </w:tblGrid>
      <w:tr>
        <w:trPr>
          <w:tblHeader w:val="true"/>
        </w:trPr>
        <w:tc>
          <w:tcPr>
            <w:tcW w:type="dxa" w:w="3331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状态</w:t>
            </w:r>
          </w:p>
        </w:tc>
        <w:tc>
          <w:tcPr>
            <w:tcW w:type="dxa" w:w="3331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界面反馈</w:t>
            </w:r>
          </w:p>
        </w:tc>
        <w:tc>
          <w:tcPr>
            <w:tcW w:type="dxa" w:w="3331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行为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未选择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显示文件类型与大小限制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提交按钮等待输入</w:t>
            </w:r>
          </w:p>
        </w:tc>
      </w:tr>
      <w:tr>
        <w:tc>
          <w:tcPr>
            <w:tcW w:type="dxa" w:w="1656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已选择</w:t>
            </w:r>
          </w:p>
        </w:tc>
        <w:tc>
          <w:tcPr>
            <w:tcW w:type="dxa" w:w="4320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显示文件名 大小与源码预览</w:t>
            </w:r>
          </w:p>
        </w:tc>
        <w:tc>
          <w:tcPr>
            <w:tcW w:type="dxa" w:w="3168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允许提交评测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校验失败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Toast 提示扩展名 大小或内容问题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阻止请求</w:t>
            </w:r>
          </w:p>
        </w:tc>
      </w:tr>
      <w:tr>
        <w:tc>
          <w:tcPr>
            <w:tcW w:type="dxa" w:w="1656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提交中</w:t>
            </w:r>
          </w:p>
        </w:tc>
        <w:tc>
          <w:tcPr>
            <w:tcW w:type="dxa" w:w="4320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按钮显示处理中并禁用</w:t>
            </w:r>
          </w:p>
        </w:tc>
        <w:tc>
          <w:tcPr>
            <w:tcW w:type="dxa" w:w="3168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避免重复请求</w:t>
            </w:r>
          </w:p>
        </w:tc>
      </w:tr>
      <w:tr>
        <w:tc>
          <w:tcPr>
            <w:tcW w:type="dxa" w:w="165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完成</w:t>
            </w:r>
          </w:p>
        </w:tc>
        <w:tc>
          <w:tcPr>
            <w:tcW w:type="dxa" w:w="43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展开评测结果并保存本机历史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允许导出和回看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六 评测结果设计</w:t>
      </w:r>
    </w:p>
    <w:p>
      <w:r>
        <w:rPr>
          <w:rFonts w:ascii="Microsoft YaHei" w:hAnsi="Microsoft YaHei" w:eastAsia="Microsoft YaHei"/>
        </w:rPr>
        <w:t>结果区先显示摘要和核心指标，再呈现功能检查、质量评分和问题建议。该顺序支持学生先判断完成度，再定位失败项，最后按照建议修改。AI 点评在问题与改进建议区域内异步加载，最多 100 字，不阻塞静态评测结果。</w:t>
      </w:r>
    </w:p>
    <w:p>
      <w:pPr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5144947"/>
            <wp:docPr id="5" name="Picture 5" descr="图 5 结果摘要 指标与功能检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-summ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144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color w:val="4F5C62"/>
          <w:sz w:val="17"/>
        </w:rPr>
        <w:t>图 5 结果摘要 指标与功能检查</w:t>
      </w:r>
    </w:p>
    <w:p>
      <w:pPr>
        <w:pStyle w:val="Heading1"/>
        <w:pageBreakBefore w:val="0"/>
      </w:pPr>
      <w:r>
        <w:t>六点一 指标层级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440"/>
        <w:gridCol w:w="4032"/>
        <w:gridCol w:w="3672"/>
      </w:tblGrid>
      <w:tr>
        <w:trPr>
          <w:tblHeader w:val="true"/>
        </w:trPr>
        <w:tc>
          <w:tcPr>
            <w:tcW w:type="dxa" w:w="3331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层级</w:t>
            </w:r>
          </w:p>
        </w:tc>
        <w:tc>
          <w:tcPr>
            <w:tcW w:type="dxa" w:w="3331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展示内容</w:t>
            </w:r>
          </w:p>
        </w:tc>
        <w:tc>
          <w:tcPr>
            <w:tcW w:type="dxa" w:w="3331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设计理由</w:t>
            </w:r>
          </w:p>
        </w:tc>
      </w:tr>
      <w:tr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摘要</w:t>
            </w:r>
          </w:p>
        </w:tc>
        <w:tc>
          <w:tcPr>
            <w:tcW w:type="dxa" w:w="40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文件名 通过项 总分和总体判断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快速说明本次结果</w:t>
            </w:r>
          </w:p>
        </w:tc>
      </w:tr>
      <w:tr>
        <w:tc>
          <w:tcPr>
            <w:tcW w:type="dxa" w:w="1440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指标</w:t>
            </w:r>
          </w:p>
        </w:tc>
        <w:tc>
          <w:tcPr>
            <w:tcW w:type="dxa" w:w="4032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总分 通过率 功能 规范 模块化 相似度</w:t>
            </w:r>
          </w:p>
        </w:tc>
        <w:tc>
          <w:tcPr>
            <w:tcW w:type="dxa" w:w="3672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支持横向扫描</w:t>
            </w:r>
          </w:p>
        </w:tc>
      </w:tr>
      <w:tr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证据</w:t>
            </w:r>
          </w:p>
        </w:tc>
        <w:tc>
          <w:tcPr>
            <w:tcW w:type="dxa" w:w="40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九项功能检查和质量依据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让规则判断可解释</w:t>
            </w:r>
          </w:p>
        </w:tc>
      </w:tr>
      <w:tr>
        <w:tc>
          <w:tcPr>
            <w:tcW w:type="dxa" w:w="1440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建议</w:t>
            </w:r>
          </w:p>
        </w:tc>
        <w:tc>
          <w:tcPr>
            <w:tcW w:type="dxa" w:w="4032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问题级别 行号 规则和 AI 点评</w:t>
            </w:r>
          </w:p>
        </w:tc>
        <w:tc>
          <w:tcPr>
            <w:tcW w:type="dxa" w:w="3672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明确下一步修改方向</w:t>
            </w:r>
          </w:p>
        </w:tc>
      </w:tr>
      <w:tr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产物</w:t>
            </w:r>
          </w:p>
        </w:tc>
        <w:tc>
          <w:tcPr>
            <w:tcW w:type="dxa" w:w="40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CSV 下载链接</w:t>
            </w:r>
          </w:p>
        </w:tc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支持验收和外部系统读取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七 交互状态和数据流</w:t>
      </w:r>
    </w:p>
    <w:p>
      <w:pPr>
        <w:pStyle w:val="Heading1"/>
        <w:pageBreakBefore w:val="0"/>
      </w:pPr>
      <w:r>
        <w:t>七点一 前后端数据流</w:t>
      </w:r>
    </w:p>
    <w:p>
      <w:r>
        <w:rPr>
          <w:rFonts w:ascii="Microsoft YaHei" w:hAnsi="Microsoft YaHei" w:eastAsia="Microsoft YaHei"/>
        </w:rPr>
        <w:t>浏览器界面调用统一 API。FastAPI 根据 case_id 从注册表选择 CaseAdapter，案例返回标准 ResultPayload，服务层保存结果和源码，再将 JSON 返回前端。CSV 下载从已保存结果生成。AI 助手通过独立 assistant 模块调用 Spark，不依赖案例实现。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C9D1D3"/>
          <w:left w:val="single" w:sz="5" w:space="0" w:color="C9D1D3"/>
          <w:bottom w:val="single" w:sz="5" w:space="0" w:color="C9D1D3"/>
          <w:right w:val="single" w:sz="5" w:space="0" w:color="C9D1D3"/>
          <w:insideH w:val="single" w:sz="5" w:space="0" w:color="C9D1D3"/>
          <w:insideV w:val="single" w:sz="5" w:space="0" w:color="C9D1D3"/>
        </w:tblBorders>
      </w:tblPr>
      <w:tblGrid>
        <w:gridCol w:w="9994"/>
      </w:tblGrid>
      <w:tr>
        <w:tc>
          <w:tcPr>
            <w:tcW w:type="dxa" w:w="9994"/>
            <w:shd w:fill="F8F8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72026"/>
                <w:sz w:val="17"/>
              </w:rPr>
              <w:t>浏览器界面 -&gt; FastAPI API -&gt; CaseAdapter -&gt; ResultPayload</w:t>
            </w:r>
            <w:r>
              <w:br/>
            </w:r>
            <w:r>
              <w:rPr>
                <w:rFonts w:ascii="Consolas" w:hAnsi="Consolas" w:eastAsia="Consolas"/>
                <w:color w:val="172026"/>
                <w:sz w:val="17"/>
              </w:rPr>
              <w:t xml:space="preserve">                         |-&gt; SQLite 结果和源码</w:t>
            </w:r>
            <w:r>
              <w:br/>
            </w:r>
            <w:r>
              <w:rPr>
                <w:rFonts w:ascii="Consolas" w:hAnsi="Consolas" w:eastAsia="Consolas"/>
                <w:color w:val="172026"/>
                <w:sz w:val="17"/>
              </w:rPr>
              <w:t>浏览器界面 -&gt; assistant API -&gt; Spark-X2.5-1.7B</w:t>
            </w:r>
          </w:p>
        </w:tc>
      </w:tr>
    </w:tbl>
    <w:p>
      <w:pPr>
        <w:spacing w:after="40"/>
      </w:pPr>
    </w:p>
    <w:p>
      <w:pPr>
        <w:pStyle w:val="Heading1"/>
        <w:pageBreakBefore w:val="0"/>
      </w:pPr>
      <w:r>
        <w:t>七点二 浏览器存储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00"/>
        <w:gridCol w:w="2520"/>
        <w:gridCol w:w="3384"/>
        <w:gridCol w:w="2016"/>
      </w:tblGrid>
      <w:tr>
        <w:trPr>
          <w:tblHeader w:val="true"/>
        </w:trPr>
        <w:tc>
          <w:tcPr>
            <w:tcW w:type="dxa" w:w="2498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数据</w:t>
            </w:r>
          </w:p>
        </w:tc>
        <w:tc>
          <w:tcPr>
            <w:tcW w:type="dxa" w:w="2498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存储位置</w:t>
            </w:r>
          </w:p>
        </w:tc>
        <w:tc>
          <w:tcPr>
            <w:tcW w:type="dxa" w:w="2498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用途</w:t>
            </w:r>
          </w:p>
        </w:tc>
        <w:tc>
          <w:tcPr>
            <w:tcW w:type="dxa" w:w="2498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删除方式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聊天上下文</w:t>
            </w:r>
          </w:p>
        </w:tc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IndexedDB assistant_chat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延续最近问答和模块上下文</w:t>
            </w:r>
          </w:p>
        </w:tc>
        <w:tc>
          <w:tcPr>
            <w:tcW w:type="dxa" w:w="20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删除聊天记录或清理站点数据</w:t>
            </w:r>
          </w:p>
        </w:tc>
      </w:tr>
      <w:tr>
        <w:tc>
          <w:tcPr>
            <w:tcW w:type="dxa" w:w="1800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提交历史</w:t>
            </w:r>
          </w:p>
        </w:tc>
        <w:tc>
          <w:tcPr>
            <w:tcW w:type="dxa" w:w="2520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IndexedDB submission_history</w:t>
            </w:r>
          </w:p>
        </w:tc>
        <w:tc>
          <w:tcPr>
            <w:tcW w:type="dxa" w:w="3384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回看结果和比较源码版本</w:t>
            </w:r>
          </w:p>
        </w:tc>
        <w:tc>
          <w:tcPr>
            <w:tcW w:type="dxa" w:w="2016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清理站点数据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匿名学生标识</w:t>
            </w:r>
          </w:p>
        </w:tc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localStorage</w:t>
            </w:r>
          </w:p>
        </w:tc>
        <w:tc>
          <w:tcPr>
            <w:tcW w:type="dxa" w:w="33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排除同一浏览器的个人迭代</w:t>
            </w:r>
          </w:p>
        </w:tc>
        <w:tc>
          <w:tcPr>
            <w:tcW w:type="dxa" w:w="20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清理站点数据</w:t>
            </w:r>
          </w:p>
        </w:tc>
      </w:tr>
      <w:tr>
        <w:tc>
          <w:tcPr>
            <w:tcW w:type="dxa" w:w="1800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API Key</w:t>
            </w:r>
          </w:p>
        </w:tc>
        <w:tc>
          <w:tcPr>
            <w:tcW w:type="dxa" w:w="2520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服务端环境变量</w:t>
            </w:r>
          </w:p>
        </w:tc>
        <w:tc>
          <w:tcPr>
            <w:tcW w:type="dxa" w:w="3384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调用 Spark 模型</w:t>
            </w:r>
          </w:p>
        </w:tc>
        <w:tc>
          <w:tcPr>
            <w:tcW w:type="dxa" w:w="2016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不进入浏览器</w:t>
            </w:r>
          </w:p>
        </w:tc>
      </w:tr>
    </w:tbl>
    <w:p>
      <w:pPr>
        <w:spacing w:after="40"/>
      </w:pPr>
    </w:p>
    <w:p>
      <w:pPr>
        <w:pStyle w:val="Heading1"/>
        <w:pageBreakBefore w:val="0"/>
      </w:pPr>
      <w:r>
        <w:t>七点三 异步状态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页面初始化时并行读取健康状态、案例列表和 AI 状态。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选择模块后单独请求知识导览，加载失败不影响模块评测。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评测完成后单独请求 AI 点评，失败时仍保留静态评分和问题清单。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聊天、评测、导览和点评均显示独立状态，避免一个服务失败遮蔽其他功能。</w:t>
      </w:r>
    </w:p>
    <w:p>
      <w:pPr>
        <w:pStyle w:val="Heading1"/>
        <w:pageBreakBefore w:val="0"/>
      </w:pPr>
      <w:r>
        <w:t>八 响应式和可访问性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92"/>
        <w:gridCol w:w="7128"/>
      </w:tblGrid>
      <w:tr>
        <w:trPr>
          <w:tblHeader w:val="true"/>
        </w:trPr>
        <w:tc>
          <w:tcPr>
            <w:tcW w:type="dxa" w:w="4997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宽度范围</w:t>
            </w:r>
          </w:p>
        </w:tc>
        <w:tc>
          <w:tcPr>
            <w:tcW w:type="dxa" w:w="4997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布局变化</w:t>
            </w:r>
          </w:p>
        </w:tc>
      </w:tr>
      <w:t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大于 1000 像素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首页双栏 模块三列 评测区双栏 指标四列</w:t>
            </w:r>
          </w:p>
        </w:tc>
      </w:tr>
      <w:tr>
        <w:tc>
          <w:tcPr>
            <w:tcW w:type="dxa" w:w="2592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761 至 1000 像素</w:t>
            </w:r>
          </w:p>
        </w:tc>
        <w:tc>
          <w:tcPr>
            <w:tcW w:type="dxa" w:w="7128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模块两列 指标两列 历史记录改为单列</w:t>
            </w:r>
          </w:p>
        </w:tc>
      </w:tr>
      <w:tr>
        <w:tc>
          <w:tcPr>
            <w:tcW w:type="dxa" w:w="259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不超过 760 像素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首页 聊天 模块 导览 评测和历史全部单列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所有主要按钮使用原生 button 元素，支持键盘触发。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状态圆点虽无可见文字，但提供 title、aria-label 和焦点轮廓。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隐藏说明使用 sr-only 类，向屏幕阅读器保留语义。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prefers-reduced-motion 为减少动态效果的用户关闭动画和过渡。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颜色不是唯一反馈方式，评测项同时使用文字状态、得分和问题说明。</w:t>
      </w:r>
    </w:p>
    <w:p>
      <w:pPr>
        <w:pStyle w:val="Heading1"/>
        <w:pageBreakBefore w:val="0"/>
      </w:pPr>
      <w:r>
        <w:t>九 组件与后端解耦</w:t>
      </w:r>
    </w:p>
    <w:p>
      <w:r>
        <w:rPr>
          <w:rFonts w:ascii="Microsoft YaHei" w:hAnsi="Microsoft YaHei" w:eastAsia="Microsoft YaHei"/>
        </w:rPr>
        <w:t>前端位于 frontend/dist，可通过 config.js 指定 API 地址并独立部署。后端位于 backend，默认仍可托管前端用于一体化演示。案例代码统一放在 backend/cases，AI 模块统一放在 backend/src/ai_tutor_backend/assistant，二者通过标准描述和结果接口协作。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440"/>
        <w:gridCol w:w="4176"/>
        <w:gridCol w:w="4104"/>
      </w:tblGrid>
      <w:tr>
        <w:trPr>
          <w:tblHeader w:val="true"/>
        </w:trPr>
        <w:tc>
          <w:tcPr>
            <w:tcW w:type="dxa" w:w="3331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层</w:t>
            </w:r>
          </w:p>
        </w:tc>
        <w:tc>
          <w:tcPr>
            <w:tcW w:type="dxa" w:w="3331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目录</w:t>
            </w:r>
          </w:p>
        </w:tc>
        <w:tc>
          <w:tcPr>
            <w:tcW w:type="dxa" w:w="3331"/>
            <w:shd w:fill="176F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DF8"/>
                <w:sz w:val="19"/>
              </w:rPr>
              <w:t>职责</w:t>
            </w:r>
          </w:p>
        </w:tc>
      </w:tr>
      <w:tr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frontend/dist</w:t>
            </w:r>
          </w:p>
        </w:tc>
        <w:tc>
          <w:tcPr>
            <w:tcW w:type="dxa" w:w="41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界面 渲染 浏览器存储和 API 调用</w:t>
            </w:r>
          </w:p>
        </w:tc>
      </w:tr>
      <w:tr>
        <w:tc>
          <w:tcPr>
            <w:tcW w:type="dxa" w:w="1440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后端核心</w:t>
            </w:r>
          </w:p>
        </w:tc>
        <w:tc>
          <w:tcPr>
            <w:tcW w:type="dxa" w:w="4176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backend/src/ai_tutor_backend</w:t>
            </w:r>
          </w:p>
        </w:tc>
        <w:tc>
          <w:tcPr>
            <w:tcW w:type="dxa" w:w="4104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API 注册 执行 存储 查重和标准输出</w:t>
            </w:r>
          </w:p>
        </w:tc>
      </w:tr>
      <w:tr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案例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backend/cases</w:t>
            </w:r>
          </w:p>
        </w:tc>
        <w:tc>
          <w:tcPr>
            <w:tcW w:type="dxa" w:w="41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案例输入校验 静态评测与结果数据集</w:t>
            </w:r>
          </w:p>
        </w:tc>
      </w:tr>
      <w:tr>
        <w:tc>
          <w:tcPr>
            <w:tcW w:type="dxa" w:w="1440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AI</w:t>
            </w:r>
          </w:p>
        </w:tc>
        <w:tc>
          <w:tcPr>
            <w:tcW w:type="dxa" w:w="4176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backend/src/ai_tutor_backend/assistant</w:t>
            </w:r>
          </w:p>
        </w:tc>
        <w:tc>
          <w:tcPr>
            <w:tcW w:type="dxa" w:w="4104"/>
            <w:shd w:fill="F4F7F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行为规范 模型调用 问答 导览和点评</w:t>
            </w:r>
          </w:p>
        </w:tc>
      </w:tr>
      <w:tr>
        <w:tc>
          <w:tcPr>
            <w:tcW w:type="dxa" w:w="14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文档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docs</w:t>
            </w:r>
          </w:p>
        </w:tc>
        <w:tc>
          <w:tcPr>
            <w:tcW w:type="dxa" w:w="410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keepLines/>
              <w:spacing w:after="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  <w:t>接口 接入 操作和设计说明</w:t>
            </w:r>
          </w:p>
        </w:tc>
      </w:tr>
    </w:tbl>
    <w:p>
      <w:pPr>
        <w:spacing w:after="40"/>
      </w:pPr>
    </w:p>
    <w:p>
      <w:pPr>
        <w:pStyle w:val="Heading1"/>
        <w:pageBreakBefore w:val="0"/>
      </w:pPr>
      <w:r>
        <w:t>十 验收检查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首页以课程助手为主题，未突出具体案例和技术版本。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页首只显示可点击的绿色或红色连接状态圆点。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AI 聊天位于标题下方和项目模块上方，聊天记录可删除。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模块知识导览位于项目代码评测和项目评测区之间，内容不超过 100 字。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案例 3 只接收单个 Python 文件，并显示可解释静态评测结果。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问题与改进建议区域包含不超过 100 字的 AI 点评。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提交历史支持本机保存、结果回看和两个版本差异比较。</w:t>
      </w:r>
    </w:p>
    <w:p>
      <w:pPr>
        <w:pStyle w:val="ListBullet"/>
        <w:spacing w:after="60"/>
        <w:ind w:left="346" w:hanging="173"/>
      </w:pPr>
      <w:r>
        <w:rPr>
          <w:rFonts w:ascii="Microsoft YaHei" w:hAnsi="Microsoft YaHei" w:eastAsia="Microsoft YaHei"/>
        </w:rPr>
        <w:t>前后端目录分离，前端可独立配置 API 地址。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352"/>
      <w:gridCol w:w="1642"/>
    </w:tblGrid>
    <w:tr>
      <w:tc>
        <w:tcPr>
          <w:tcW w:type="dxa" w:w="4997"/>
        </w:tcPr>
        <w:p>
          <w:pPr>
            <w:spacing w:after="0"/>
          </w:pPr>
          <w:r>
            <w:rPr>
              <w:rFonts w:ascii="Microsoft YaHei" w:hAnsi="Microsoft YaHei" w:eastAsia="Microsoft YaHei"/>
              <w:color w:val="4F5C62"/>
              <w:sz w:val="17"/>
            </w:rPr>
            <w:t>知行课程助手界面设计说明</w:t>
          </w:r>
        </w:p>
      </w:tc>
      <w:tc>
        <w:tcPr>
          <w:tcW w:type="dxa" w:w="4997"/>
        </w:tcPr>
        <w:p>
          <w:pPr>
            <w:spacing w:after="0"/>
            <w:jc w:val="right"/>
          </w:pPr>
          <w:r>
            <w:rPr>
              <w:rFonts w:ascii="Microsoft YaHei" w:hAnsi="Microsoft YaHei" w:eastAsia="Microsoft YaHei"/>
              <w:color w:val="4F5C62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1" w:lineRule="auto"/>
    </w:pPr>
    <w:rPr>
      <w:rFonts w:ascii="Microsoft YaHei" w:hAnsi="Microsoft YaHei" w:eastAsia="Microsoft YaHei"/>
      <w:color w:val="1720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知行课程助手界面设计说明</dc:subject>
  <dc:creator>知行课程助手项目组</dc:creator>
  <cp:keywords>AI 助教 课程助手 Python 代码评测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