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EASY RICH CORPORATION LTD</w:t>
      </w:r>
    </w:p>
    <w:p>
      <w:pPr>
        <w:spacing w:after="20"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順富興業</w:t>
      </w:r>
    </w:p>
    <w:p>
      <w:pPr>
        <w:spacing w:after="60"/>
        <w:jc w:val="left"/>
      </w:pPr>
      <w:r>
        <w:rPr>
          <w:rFonts w:ascii="Times New Roman" w:eastAsia="SimSun" w:hAnsi="Times New Roman"/>
          <w:b/>
          <w:bCs/>
          <w:sz w:val="20"/>
          <w:szCs w:val="20"/>
        </w:rPr>
        <w:t xml:space="preserve">Company No.: </w:t>
      </w:r>
      <w:r>
        <w:rPr>
          <w:rFonts w:ascii="Times New Roman" w:eastAsia="SimSun" w:hAnsi="Times New Roman"/>
          <w:b/>
          <w:bCs/>
          <w:sz w:val="20"/>
          <w:szCs w:val="20"/>
        </w:rPr>
        <w:t xml:space="preserve">65940948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Jurisdiction: British Virgin Islands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Date: 16/07/2026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00"/>
        <w:gridCol w:w="1700"/>
        <w:gridCol w:w="700"/>
        <w:gridCol w:w="700"/>
        <w:gridCol w:w="600"/>
        <w:gridCol w:w="800"/>
        <w:gridCol w:w="600"/>
        <w:gridCol w:w="600"/>
        <w:gridCol w:w="750"/>
        <w:gridCol w:w="850"/>
        <w:gridCol w:w="850"/>
        <w:gridCol w:w="800"/>
        <w:gridCol w:w="600"/>
        <w:gridCol w:w="600"/>
        <w:gridCol w:w="750"/>
        <w:gridCol w:w="850"/>
        <w:gridCol w:w="750"/>
        <w:gridCol w:w="750"/>
        <w:gridCol w:w="650"/>
      </w:tblGrid>
      <w:tr>
        <w:trPr>
          <w:tblHeader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Entered</w:t>
            </w:r>
          </w:p>
        </w:tc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Member Name</w:t>
            </w:r>
          </w:p>
        </w:tc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Address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Jurisdiction</w:t>
            </w:r>
          </w:p>
        </w:tc>
        <w:tc>
          <w:tcPr>
            <w:tcW w:type="dxa" w:w="42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Shares Acquired</w:t>
            </w:r>
          </w:p>
        </w:tc>
        <w:tc>
          <w:tcPr>
            <w:tcW w:type="dxa" w:w="445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Shares Transferred</w:t>
            </w:r>
          </w:p>
        </w:tc>
        <w:tc>
          <w:tcPr>
            <w:tcW w:type="dxa" w:w="7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Ceased</w:t>
            </w:r>
          </w:p>
        </w:tc>
        <w:tc>
          <w:tcPr>
            <w:tcW w:type="dxa" w:w="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Entry Made By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Certificate No.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Distinctive Nos.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Consideration Paid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of Payment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Total Shares Held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Certificate No.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Distinctive Nos.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of Transfer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[MEMBER_NAME_EN]
[MEMBER_NAME_CN]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[ADDRESS]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[JURISDICTION]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[CERT_NO]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[DIST_FROM]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[CONSIDERATION]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Secretary</w:t>
            </w:r>
          </w:p>
        </w:tc>
      </w:tr>
    </w:tbl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 w:before="200" w:line="24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Declaration: I confirm that the shareholding information complies with the BVI Business Companies Act 2018. / 声明：本人确认上述股权信息符合《2018年BVI商业公司法》。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120" w:line="28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Director's Signature / 董事签字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120" w:line="280"/>
              <w:jc w:val="right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Date / 日期：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</w:tr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160" w:before="80" w:line="28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Registered Agent Confirmation / 注册代理人确认：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</w:tr>
    </w:tbl>
    <w:sectPr>
      <w:footerReference w:type="default" r:id="rId7"/>
      <w:pgSz w:w="16838" w:h="11906" w:orient="landscape"/>
      <w:pgMar w:top="720" w:right="907" w:bottom="7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lef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[BVI_LEGAL_NOTE: insert BVI Business Companies Act 2018 statutory note verbatim from ROD.xlsx reference]</w:t>
    </w:r>
  </w:p>
  <w:p>
    <w:pPr>
      <w:spacing w:before="2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Page No.: </w:t>
    </w:r>
    <w:r>
      <w:rPr>
        <w:rFonts w:ascii="Times New Roman" w:eastAsia="SimSu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   |   Class of Share: Ordinary   |   Par Value Per Share: HKD 1.00   |   BVI 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Members - EASY RICH CORPORATION LTD</dc:title>
  <dc:creator>Claw Company Secretary System</dc:creator>
  <cp:lastModifiedBy>Un-named</cp:lastModifiedBy>
  <cp:revision>1</cp:revision>
  <dcterms:created xsi:type="dcterms:W3CDTF">2026-07-16T04:45:54.997Z</dcterms:created>
  <dcterms:modified xsi:type="dcterms:W3CDTF">2026-07-16T04:45:54.997Z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