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eastAsia="黑体"/>
          <w:b/>
          <w:sz w:val="32"/>
        </w:rPr>
        <w:t>问题一  数据缺失条件下的感官评分</w:t>
      </w:r>
    </w:p>
    <w:p>
      <w:pPr>
        <w:keepNext/>
        <w:spacing w:before="200" w:after="120"/>
      </w:pPr>
      <w:r>
        <w:rPr>
          <w:rFonts w:ascii="Times New Roman" w:hAnsi="Times New Roman" w:eastAsia="黑体"/>
          <w:b/>
          <w:sz w:val="26"/>
        </w:rPr>
        <w:t>5.1  问题分析</w:t>
      </w:r>
    </w:p>
    <w:p>
      <w:pPr>
        <w:spacing w:line="312" w:lineRule="auto" w:after="60"/>
        <w:ind w:firstLine="420"/>
      </w:pPr>
      <w:r>
        <w:rPr>
          <w:rFonts w:ascii="Times New Roman" w:hAnsi="Times New Roman" w:eastAsia="宋体"/>
          <w:b w:val="0"/>
          <w:sz w:val="21"/>
        </w:rPr>
        <w:t>问题一要求以化合物及理化测量数据为输入，对附件3所定义的香气与风味指标给出0—6分级结果。附件4提供的是经标准化或中心化处理的连续感官指标，而非原始人工等级，因此不能直接四舍五入。本文将任务分解为连续指标预测、相对等级构造和缺失条件检验三个步骤：先在多个回归模型中依据训练集交叉验证结果选型，再利用训练集经验分布把连续预测转换为0—6相对等级，最后通过同步遮掩实验评价完整方案在特征缺失时的稳定性。</w:t>
      </w:r>
    </w:p>
    <w:p>
      <w:pPr>
        <w:spacing w:line="312" w:lineRule="auto" w:after="60"/>
        <w:ind w:firstLine="420"/>
      </w:pPr>
      <w:r>
        <w:rPr>
          <w:rFonts w:ascii="Times New Roman" w:hAnsi="Times New Roman" w:eastAsia="宋体"/>
          <w:b w:val="0"/>
          <w:sz w:val="21"/>
        </w:rPr>
        <w:t>三个问题共用同一套样本对齐、尺度核验和数据质量处理结果。问题一使用化合物矩阵与感官指标；问题二在此基础上引入化合物相关矩阵；问题三进一步使用风格标签和缺陷化合物阈值。三个问题共用样本索引、字段映射和尺度核验结果，以保证数据口径一致。涉及模型拟合的参数——填补均值、标准化参数、超参数和分级路线选择——均分别由训练集或各训练折估计，不提前使用验证集和测试集的标签信息；疑似异常的识别作为不使用感官标签的数据有效性核查，在全样本上执行，其处理口径的影响通过敏感性分析单独说明。</w:t>
      </w:r>
    </w:p>
    <w:p>
      <w:pPr>
        <w:keepNext/>
        <w:spacing w:before="200" w:after="120"/>
      </w:pPr>
      <w:r>
        <w:rPr>
          <w:rFonts w:ascii="Times New Roman" w:hAnsi="Times New Roman" w:eastAsia="黑体"/>
          <w:b/>
          <w:sz w:val="26"/>
        </w:rPr>
        <w:t>5.2  数据预处理</w:t>
      </w:r>
    </w:p>
    <w:p>
      <w:pPr>
        <w:keepNext/>
        <w:spacing w:before="140" w:after="80"/>
      </w:pPr>
      <w:r>
        <w:rPr>
          <w:rFonts w:ascii="Times New Roman" w:hAnsi="Times New Roman" w:eastAsia="黑体"/>
          <w:b/>
          <w:sz w:val="22"/>
        </w:rPr>
        <w:t>5.2.1  样本对齐与尺度核验</w:t>
      </w:r>
    </w:p>
    <w:p>
      <w:pPr>
        <w:spacing w:line="312" w:lineRule="auto" w:after="60"/>
        <w:ind w:firstLine="420"/>
      </w:pPr>
      <w:r>
        <w:rPr>
          <w:rFonts w:ascii="Times New Roman" w:hAnsi="Times New Roman" w:eastAsia="宋体"/>
          <w:b w:val="0"/>
          <w:sz w:val="21"/>
        </w:rPr>
        <w:t>以样本编号为主键，对齐附件1、附件4中的250款啤酒及风格标签。附件1包含231个化学及理化特征，其中包括226个测量指标和5个派生属性；附件4包含50个连续感官指标。经逐文件核对，三个问题均沿用同一套样本顺序和字段映射。</w:t>
      </w:r>
    </w:p>
    <w:p>
      <w:pPr>
        <w:keepNext/>
        <w:spacing w:line="312" w:lineRule="auto" w:after="60"/>
        <w:ind w:firstLine="420"/>
      </w:pPr>
      <w:r>
        <w:rPr>
          <w:rFonts w:ascii="Times New Roman" w:hAnsi="Times New Roman" w:eastAsia="宋体"/>
          <w:b w:val="0"/>
          <w:sz w:val="21"/>
        </w:rPr>
        <w:t>附件1同时含有对数尺度与线性尺度。结合附件8的校准数据逐列核验：对已确认采用对数变换的指标保留原编码，对线性指标不作重复取对数。疑似下限替代值与对数底数相互印证，pH反变换结果亦处于合理范围。对于需要还原浓度的分析，按指标所属尺度分别处理：</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sSub>
                <m:e>
                  <m:r>
                    <m:t>c</m:t>
                  </m:r>
                </m:e>
                <m:sub>
                  <m:r>
                    <m:t>ij</m:t>
                  </m:r>
                </m:sub>
              </m:sSub>
              <m:r>
                <m:t>=</m:t>
              </m:r>
              <m:d>
                <m:dPr>
                  <m:begChr m:val="{"/>
                  <m:sepChr m:val=""/>
                  <m:endChr m:val=""/>
                </m:dPr>
                <m:e>
                  <m:m>
                    <m:mPr>
                      <m:baseJc m:val="center"/>
                      <m:plcHide m:val="on"/>
                      <m:mcs>
                        <m:mc>
                          <m:mcPr>
                            <m:count m:val="2"/>
                            <m:mcJc m:val="center"/>
                          </m:mcPr>
                        </m:mc>
                      </m:mcs>
                    </m:mPr>
                    <m:mr>
                      <m:e>
                        <m:sSup>
                          <m:e>
                            <m:r>
                              <m:t>10</m:t>
                            </m:r>
                          </m:e>
                          <m:sup>
                            <m:sSub>
                              <m:e>
                                <m:r>
                                  <m:t>x</m:t>
                                </m:r>
                              </m:e>
                              <m:sub>
                                <m:r>
                                  <m:t>ij</m:t>
                                </m:r>
                              </m:sub>
                            </m:sSub>
                          </m:sup>
                        </m:sSup>
                        <m:r>
                          <m:t>,</m:t>
                        </m:r>
                      </m:e>
                      <m:e>
                        <m:r>
                          <m:t>j∈ℒ,</m:t>
                        </m:r>
                      </m:e>
                    </m:mr>
                    <m:mr>
                      <m:e>
                        <m:sSub>
                          <m:e>
                            <m:r>
                              <m:t>x</m:t>
                            </m:r>
                          </m:e>
                          <m:sub>
                            <m:r>
                              <m:t>ij</m:t>
                            </m:r>
                          </m:sub>
                        </m:sSub>
                        <m:r>
                          <m:t>,</m:t>
                        </m:r>
                      </m:e>
                      <m:e>
                        <m:r>
                          <m:t>j∈ℛ,</m:t>
                        </m:r>
                      </m:e>
                    </m:mr>
                  </m:m>
                </m:e>
              </m:d>
            </m:oMath>
          </w:p>
        </w:tc>
        <w:tc>
          <w:tcPr>
            <w:tcW w:type="dxa" w:w="964"/>
          </w:tcPr>
          <w:p>
            <w:pPr>
              <w:jc w:val="right"/>
            </w:pPr>
            <w:r>
              <w:rPr>
                <w:rFonts w:ascii="Times New Roman" w:hAnsi="Times New Roman" w:eastAsia="宋体"/>
                <w:b w:val="0"/>
                <w:sz w:val="18"/>
              </w:rPr>
              <w:t>（1）</w:t>
            </w:r>
          </w:p>
        </w:tc>
      </w:tr>
    </w:tbl>
    <w:p>
      <w:pPr>
        <w:spacing w:before="0" w:after="0" w:line="240" w:lineRule="auto"/>
      </w:pPr>
      <w:r>
        <w:rPr>
          <w:sz w:val="16"/>
        </w:rPr>
        <w:t xml:space="preserve"> </w:t>
      </w:r>
    </w:p>
    <w:p>
      <w:pPr>
        <w:spacing w:line="312" w:lineRule="auto" w:after="60"/>
        <w:ind w:firstLine="420"/>
      </w:pPr>
      <w:r>
        <w:rPr>
          <w:rFonts w:ascii="Times New Roman" w:hAnsi="Times New Roman" w:eastAsia="宋体"/>
          <w:b w:val="0"/>
          <w:sz w:val="21"/>
        </w:rPr>
        <w:t>其中，L 与 R 分别表示对数尺度和线性尺度指标集合。对下限替代值进行逆变换仅用于保持计算口径一致，不将所得数值解释为真实浓度。</w:t>
      </w:r>
    </w:p>
    <w:p>
      <w:pPr>
        <w:spacing w:line="312" w:lineRule="auto" w:after="60"/>
        <w:ind w:firstLine="420"/>
      </w:pPr>
      <w:r>
        <w:rPr>
          <w:rFonts w:ascii="Times New Roman" w:hAnsi="Times New Roman" w:eastAsia="宋体"/>
          <w:b w:val="0"/>
          <w:sz w:val="21"/>
        </w:rPr>
        <w:t>附件4的50项连续感官指标按题目口径分为三部分：Aroma与Flavour各15项（麦芽、酒花与酯类各5项），共30项作为核心输出；其余20项（酸度、苦度、甜度、4-乙烯基愈创木酚、双乙酰、二甲基硫、金属味、陈旧酒花味、反-2-壬烯醛、橙香、芫荽香、丁香香、乳酸味、醋酸感、野菌气息、酒精感、余味、酒体、二氧化碳感、整体评分）作为扩展感官指标一并预测。评分卡中的乙醛香气、乙醛风味等项目在附件4中没有对应数值标签，本文不单独建模；自由文本不作为预测目标。</w:t>
      </w:r>
    </w:p>
    <w:p>
      <w:pPr>
        <w:keepNext/>
        <w:spacing w:before="140" w:after="80"/>
      </w:pPr>
      <w:r>
        <w:rPr>
          <w:rFonts w:ascii="Times New Roman" w:hAnsi="Times New Roman" w:eastAsia="黑体"/>
          <w:b/>
          <w:sz w:val="22"/>
        </w:rPr>
        <w:t>5.2.2  缺失值、疑似异常与下限替代值</w:t>
      </w:r>
    </w:p>
    <w:p>
      <w:pPr>
        <w:spacing w:line="312" w:lineRule="auto" w:after="60"/>
        <w:ind w:firstLine="420"/>
      </w:pPr>
      <w:r>
        <w:rPr>
          <w:rFonts w:ascii="Times New Roman" w:hAnsi="Times New Roman" w:eastAsia="宋体"/>
          <w:b w:val="0"/>
          <w:sz w:val="21"/>
        </w:rPr>
        <w:t>附件1共有73个缺失单元格，占全部化学测量值的0.126%，分布于9个指标。缺失比例整体较低，现有信息不足以判断其缺失机制。各指标的缺失情况见表1。</w:t>
      </w:r>
    </w:p>
    <w:p>
      <w:pPr>
        <w:keepNext/>
        <w:spacing w:before="100" w:after="60"/>
        <w:jc w:val="center"/>
      </w:pPr>
      <w:r>
        <w:rPr>
          <w:rFonts w:ascii="Times New Roman" w:hAnsi="Times New Roman" w:eastAsia="黑体"/>
          <w:b/>
          <w:sz w:val="18"/>
        </w:rPr>
        <w:t>表1  附件1中化学指标的缺失值统计</w:t>
      </w:r>
    </w:p>
    <w:tbl>
      <w:tblPr>
        <w:tblW w:type="auto" w:w="0"/>
        <w:jc w:val="center"/>
        <w:tblLayout w:type="fixed"/>
        <w:tblLook w:firstColumn="1" w:firstRow="1" w:lastColumn="0" w:lastRow="0" w:noHBand="0" w:noVBand="1" w:val="04A0"/>
      </w:tblPr>
      <w:tblGrid>
        <w:gridCol w:w="3099"/>
        <w:gridCol w:w="3099"/>
        <w:gridCol w:w="3099"/>
      </w:tblGrid>
      <w:tr>
        <w:trPr>
          <w:tblHeader/>
          <w:cantSplit/>
        </w:trPr>
        <w:tc>
          <w:tcPr>
            <w:tcW w:type="dxa" w:w="3402"/>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7"/>
              </w:rPr>
              <w:t>指标</w:t>
            </w:r>
          </w:p>
        </w:tc>
        <w:tc>
          <w:tcPr>
            <w:tcW w:type="dxa" w:w="1701"/>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7"/>
              </w:rPr>
              <w:t>缺失个数</w:t>
            </w:r>
          </w:p>
        </w:tc>
        <w:tc>
          <w:tcPr>
            <w:tcW w:type="dxa" w:w="2268"/>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7"/>
              </w:rPr>
              <w:t>占该指标比例</w:t>
            </w:r>
          </w:p>
        </w:tc>
      </w:tr>
      <w:tr>
        <w:trPr>
          <w:cantSplit/>
        </w:trPr>
        <w:tc>
          <w:tcPr>
            <w:tcW w:type="dxa" w:w="3402"/>
            <w:vAlign w:val="center"/>
            <w:tcBorders>
              <w:top w:val="nil"/>
              <w:bottom w:val="nil"/>
              <w:left w:val="nil"/>
              <w:right w:val="nil"/>
            </w:tcBorders>
          </w:tcPr>
          <w:p>
            <w:pPr>
              <w:keepNext/>
              <w:spacing w:after="20"/>
              <w:jc w:val="center"/>
            </w:pPr>
            <w:r/>
            <w:r>
              <w:rPr>
                <w:rFonts w:ascii="Times New Roman" w:hAnsi="Times New Roman" w:eastAsia="宋体"/>
                <w:b w:val="0"/>
                <w:sz w:val="17"/>
              </w:rPr>
              <w:t>乙酸戊酯</w:t>
            </w:r>
          </w:p>
        </w:tc>
        <w:tc>
          <w:tcPr>
            <w:tcW w:type="dxa" w:w="1701"/>
            <w:vAlign w:val="center"/>
            <w:tcBorders>
              <w:top w:val="nil"/>
              <w:bottom w:val="nil"/>
              <w:left w:val="nil"/>
              <w:right w:val="nil"/>
            </w:tcBorders>
          </w:tcPr>
          <w:p>
            <w:pPr>
              <w:keepNext/>
              <w:spacing w:after="20"/>
              <w:jc w:val="center"/>
            </w:pPr>
            <w:r/>
            <w:r>
              <w:rPr>
                <w:rFonts w:ascii="Times New Roman" w:hAnsi="Times New Roman" w:eastAsia="宋体"/>
                <w:b w:val="0"/>
                <w:sz w:val="17"/>
              </w:rPr>
              <w:t>27</w:t>
            </w:r>
          </w:p>
        </w:tc>
        <w:tc>
          <w:tcPr>
            <w:tcW w:type="dxa" w:w="2268"/>
            <w:vAlign w:val="center"/>
            <w:tcBorders>
              <w:top w:val="nil"/>
              <w:bottom w:val="nil"/>
              <w:left w:val="nil"/>
              <w:right w:val="nil"/>
            </w:tcBorders>
          </w:tcPr>
          <w:p>
            <w:pPr>
              <w:keepNext/>
              <w:spacing w:after="20"/>
              <w:jc w:val="center"/>
            </w:pPr>
            <w:r/>
            <w:r>
              <w:rPr>
                <w:rFonts w:ascii="Times New Roman" w:hAnsi="Times New Roman" w:eastAsia="宋体"/>
                <w:b w:val="0"/>
                <w:sz w:val="17"/>
              </w:rPr>
              <w:t>10.80%</w:t>
            </w:r>
          </w:p>
        </w:tc>
      </w:tr>
      <w:tr>
        <w:trPr>
          <w:cantSplit/>
        </w:trPr>
        <w:tc>
          <w:tcPr>
            <w:tcW w:type="dxa" w:w="3402"/>
            <w:vAlign w:val="center"/>
            <w:tcBorders>
              <w:top w:val="nil"/>
              <w:bottom w:val="nil"/>
              <w:left w:val="nil"/>
              <w:right w:val="nil"/>
            </w:tcBorders>
          </w:tcPr>
          <w:p>
            <w:pPr>
              <w:keepNext/>
              <w:spacing w:after="20"/>
              <w:jc w:val="center"/>
            </w:pPr>
            <w:r/>
            <w:r>
              <w:rPr>
                <w:rFonts w:ascii="Times New Roman" w:hAnsi="Times New Roman" w:eastAsia="宋体"/>
                <w:b w:val="0"/>
                <w:sz w:val="17"/>
              </w:rPr>
              <w:t>酒花香气总和</w:t>
            </w:r>
          </w:p>
        </w:tc>
        <w:tc>
          <w:tcPr>
            <w:tcW w:type="dxa" w:w="1701"/>
            <w:vAlign w:val="center"/>
            <w:tcBorders>
              <w:top w:val="nil"/>
              <w:bottom w:val="nil"/>
              <w:left w:val="nil"/>
              <w:right w:val="nil"/>
            </w:tcBorders>
          </w:tcPr>
          <w:p>
            <w:pPr>
              <w:keepNext/>
              <w:spacing w:after="20"/>
              <w:jc w:val="center"/>
            </w:pPr>
            <w:r/>
            <w:r>
              <w:rPr>
                <w:rFonts w:ascii="Times New Roman" w:hAnsi="Times New Roman" w:eastAsia="宋体"/>
                <w:b w:val="0"/>
                <w:sz w:val="17"/>
              </w:rPr>
              <w:t>13</w:t>
            </w:r>
          </w:p>
        </w:tc>
        <w:tc>
          <w:tcPr>
            <w:tcW w:type="dxa" w:w="2268"/>
            <w:vAlign w:val="center"/>
            <w:tcBorders>
              <w:top w:val="nil"/>
              <w:bottom w:val="nil"/>
              <w:left w:val="nil"/>
              <w:right w:val="nil"/>
            </w:tcBorders>
          </w:tcPr>
          <w:p>
            <w:pPr>
              <w:keepNext/>
              <w:spacing w:after="20"/>
              <w:jc w:val="center"/>
            </w:pPr>
            <w:r/>
            <w:r>
              <w:rPr>
                <w:rFonts w:ascii="Times New Roman" w:hAnsi="Times New Roman" w:eastAsia="宋体"/>
                <w:b w:val="0"/>
                <w:sz w:val="17"/>
              </w:rPr>
              <w:t>5.20%</w:t>
            </w:r>
          </w:p>
        </w:tc>
      </w:tr>
      <w:tr>
        <w:trPr>
          <w:cantSplit/>
        </w:trPr>
        <w:tc>
          <w:tcPr>
            <w:tcW w:type="dxa" w:w="3402"/>
            <w:vAlign w:val="center"/>
            <w:tcBorders>
              <w:top w:val="nil"/>
              <w:bottom w:val="nil"/>
              <w:left w:val="nil"/>
              <w:right w:val="nil"/>
            </w:tcBorders>
          </w:tcPr>
          <w:p>
            <w:pPr>
              <w:keepNext/>
              <w:spacing w:after="20"/>
              <w:jc w:val="center"/>
            </w:pPr>
            <w:r/>
            <w:r>
              <w:rPr>
                <w:rFonts w:ascii="Times New Roman" w:hAnsi="Times New Roman" w:eastAsia="宋体"/>
                <w:b w:val="0"/>
                <w:sz w:val="17"/>
              </w:rPr>
              <w:t>甲基吡嗪</w:t>
            </w:r>
          </w:p>
        </w:tc>
        <w:tc>
          <w:tcPr>
            <w:tcW w:type="dxa" w:w="1701"/>
            <w:vAlign w:val="center"/>
            <w:tcBorders>
              <w:top w:val="nil"/>
              <w:bottom w:val="nil"/>
              <w:left w:val="nil"/>
              <w:right w:val="nil"/>
            </w:tcBorders>
          </w:tcPr>
          <w:p>
            <w:pPr>
              <w:keepNext/>
              <w:spacing w:after="20"/>
              <w:jc w:val="center"/>
            </w:pPr>
            <w:r/>
            <w:r>
              <w:rPr>
                <w:rFonts w:ascii="Times New Roman" w:hAnsi="Times New Roman" w:eastAsia="宋体"/>
                <w:b w:val="0"/>
                <w:sz w:val="17"/>
              </w:rPr>
              <w:t>12</w:t>
            </w:r>
          </w:p>
        </w:tc>
        <w:tc>
          <w:tcPr>
            <w:tcW w:type="dxa" w:w="2268"/>
            <w:vAlign w:val="center"/>
            <w:tcBorders>
              <w:top w:val="nil"/>
              <w:bottom w:val="nil"/>
              <w:left w:val="nil"/>
              <w:right w:val="nil"/>
            </w:tcBorders>
          </w:tcPr>
          <w:p>
            <w:pPr>
              <w:keepNext/>
              <w:spacing w:after="20"/>
              <w:jc w:val="center"/>
            </w:pPr>
            <w:r/>
            <w:r>
              <w:rPr>
                <w:rFonts w:ascii="Times New Roman" w:hAnsi="Times New Roman" w:eastAsia="宋体"/>
                <w:b w:val="0"/>
                <w:sz w:val="17"/>
              </w:rPr>
              <w:t>4.80%</w:t>
            </w:r>
          </w:p>
        </w:tc>
      </w:tr>
      <w:tr>
        <w:trPr>
          <w:cantSplit/>
        </w:trPr>
        <w:tc>
          <w:tcPr>
            <w:tcW w:type="dxa" w:w="3402"/>
            <w:vAlign w:val="center"/>
            <w:tcBorders>
              <w:top w:val="nil"/>
              <w:bottom w:val="nil"/>
              <w:left w:val="nil"/>
              <w:right w:val="nil"/>
            </w:tcBorders>
          </w:tcPr>
          <w:p>
            <w:pPr>
              <w:keepNext/>
              <w:spacing w:after="20"/>
              <w:jc w:val="center"/>
            </w:pPr>
            <w:r/>
            <w:r>
              <w:rPr>
                <w:rFonts w:ascii="Times New Roman" w:hAnsi="Times New Roman" w:eastAsia="宋体"/>
                <w:b w:val="0"/>
                <w:sz w:val="17"/>
              </w:rPr>
              <w:t>2,3-丁二酮</w:t>
            </w:r>
          </w:p>
        </w:tc>
        <w:tc>
          <w:tcPr>
            <w:tcW w:type="dxa" w:w="1701"/>
            <w:vAlign w:val="center"/>
            <w:tcBorders>
              <w:top w:val="nil"/>
              <w:bottom w:val="nil"/>
              <w:left w:val="nil"/>
              <w:right w:val="nil"/>
            </w:tcBorders>
          </w:tcPr>
          <w:p>
            <w:pPr>
              <w:keepNext/>
              <w:spacing w:after="20"/>
              <w:jc w:val="center"/>
            </w:pPr>
            <w:r/>
            <w:r>
              <w:rPr>
                <w:rFonts w:ascii="Times New Roman" w:hAnsi="Times New Roman" w:eastAsia="宋体"/>
                <w:b w:val="0"/>
                <w:sz w:val="17"/>
              </w:rPr>
              <w:t>9</w:t>
            </w:r>
          </w:p>
        </w:tc>
        <w:tc>
          <w:tcPr>
            <w:tcW w:type="dxa" w:w="2268"/>
            <w:vAlign w:val="center"/>
            <w:tcBorders>
              <w:top w:val="nil"/>
              <w:bottom w:val="nil"/>
              <w:left w:val="nil"/>
              <w:right w:val="nil"/>
            </w:tcBorders>
          </w:tcPr>
          <w:p>
            <w:pPr>
              <w:keepNext/>
              <w:spacing w:after="20"/>
              <w:jc w:val="center"/>
            </w:pPr>
            <w:r/>
            <w:r>
              <w:rPr>
                <w:rFonts w:ascii="Times New Roman" w:hAnsi="Times New Roman" w:eastAsia="宋体"/>
                <w:b w:val="0"/>
                <w:sz w:val="17"/>
              </w:rPr>
              <w:t>3.60%</w:t>
            </w:r>
          </w:p>
        </w:tc>
      </w:tr>
      <w:tr>
        <w:trPr>
          <w:cantSplit/>
        </w:trPr>
        <w:tc>
          <w:tcPr>
            <w:tcW w:type="dxa" w:w="3402"/>
            <w:vAlign w:val="center"/>
            <w:tcBorders>
              <w:top w:val="nil"/>
              <w:bottom w:val="nil"/>
              <w:left w:val="nil"/>
              <w:right w:val="nil"/>
            </w:tcBorders>
          </w:tcPr>
          <w:p>
            <w:pPr>
              <w:keepNext/>
              <w:spacing w:after="20"/>
              <w:jc w:val="center"/>
            </w:pPr>
            <w:r/>
            <w:r>
              <w:rPr>
                <w:rFonts w:ascii="Times New Roman" w:hAnsi="Times New Roman" w:eastAsia="宋体"/>
                <w:b w:val="0"/>
                <w:sz w:val="17"/>
              </w:rPr>
              <w:t>3-甲基丁醛</w:t>
            </w:r>
          </w:p>
        </w:tc>
        <w:tc>
          <w:tcPr>
            <w:tcW w:type="dxa" w:w="1701"/>
            <w:vAlign w:val="center"/>
            <w:tcBorders>
              <w:top w:val="nil"/>
              <w:bottom w:val="nil"/>
              <w:left w:val="nil"/>
              <w:right w:val="nil"/>
            </w:tcBorders>
          </w:tcPr>
          <w:p>
            <w:pPr>
              <w:keepNext/>
              <w:spacing w:after="20"/>
              <w:jc w:val="center"/>
            </w:pPr>
            <w:r/>
            <w:r>
              <w:rPr>
                <w:rFonts w:ascii="Times New Roman" w:hAnsi="Times New Roman" w:eastAsia="宋体"/>
                <w:b w:val="0"/>
                <w:sz w:val="17"/>
              </w:rPr>
              <w:t>7</w:t>
            </w:r>
          </w:p>
        </w:tc>
        <w:tc>
          <w:tcPr>
            <w:tcW w:type="dxa" w:w="2268"/>
            <w:vAlign w:val="center"/>
            <w:tcBorders>
              <w:top w:val="nil"/>
              <w:bottom w:val="nil"/>
              <w:left w:val="nil"/>
              <w:right w:val="nil"/>
            </w:tcBorders>
          </w:tcPr>
          <w:p>
            <w:pPr>
              <w:keepNext/>
              <w:spacing w:after="20"/>
              <w:jc w:val="center"/>
            </w:pPr>
            <w:r/>
            <w:r>
              <w:rPr>
                <w:rFonts w:ascii="Times New Roman" w:hAnsi="Times New Roman" w:eastAsia="宋体"/>
                <w:b w:val="0"/>
                <w:sz w:val="17"/>
              </w:rPr>
              <w:t>2.80%</w:t>
            </w:r>
          </w:p>
        </w:tc>
      </w:tr>
      <w:tr>
        <w:trPr>
          <w:cantSplit/>
        </w:trPr>
        <w:tc>
          <w:tcPr>
            <w:tcW w:type="dxa" w:w="3402"/>
            <w:vAlign w:val="center"/>
            <w:tcBorders>
              <w:top w:val="nil"/>
              <w:bottom w:val="nil"/>
              <w:left w:val="nil"/>
              <w:right w:val="nil"/>
            </w:tcBorders>
          </w:tcPr>
          <w:p>
            <w:pPr>
              <w:keepNext/>
              <w:spacing w:after="20"/>
              <w:jc w:val="center"/>
            </w:pPr>
            <w:r/>
            <w:r>
              <w:rPr>
                <w:rFonts w:ascii="Times New Roman" w:hAnsi="Times New Roman" w:eastAsia="宋体"/>
                <w:b w:val="0"/>
                <w:sz w:val="17"/>
              </w:rPr>
              <w:t>烟酸乙酯</w:t>
            </w:r>
          </w:p>
        </w:tc>
        <w:tc>
          <w:tcPr>
            <w:tcW w:type="dxa" w:w="1701"/>
            <w:vAlign w:val="center"/>
            <w:tcBorders>
              <w:top w:val="nil"/>
              <w:bottom w:val="nil"/>
              <w:left w:val="nil"/>
              <w:right w:val="nil"/>
            </w:tcBorders>
          </w:tcPr>
          <w:p>
            <w:pPr>
              <w:keepNext/>
              <w:spacing w:after="20"/>
              <w:jc w:val="center"/>
            </w:pPr>
            <w:r/>
            <w:r>
              <w:rPr>
                <w:rFonts w:ascii="Times New Roman" w:hAnsi="Times New Roman" w:eastAsia="宋体"/>
                <w:b w:val="0"/>
                <w:sz w:val="17"/>
              </w:rPr>
              <w:t>2</w:t>
            </w:r>
          </w:p>
        </w:tc>
        <w:tc>
          <w:tcPr>
            <w:tcW w:type="dxa" w:w="2268"/>
            <w:vAlign w:val="center"/>
            <w:tcBorders>
              <w:top w:val="nil"/>
              <w:bottom w:val="nil"/>
              <w:left w:val="nil"/>
              <w:right w:val="nil"/>
            </w:tcBorders>
          </w:tcPr>
          <w:p>
            <w:pPr>
              <w:keepNext/>
              <w:spacing w:after="20"/>
              <w:jc w:val="center"/>
            </w:pPr>
            <w:r/>
            <w:r>
              <w:rPr>
                <w:rFonts w:ascii="Times New Roman" w:hAnsi="Times New Roman" w:eastAsia="宋体"/>
                <w:b w:val="0"/>
                <w:sz w:val="17"/>
              </w:rPr>
              <w:t>0.80%</w:t>
            </w:r>
          </w:p>
        </w:tc>
      </w:tr>
      <w:tr>
        <w:trPr>
          <w:cantSplit/>
        </w:trPr>
        <w:tc>
          <w:tcPr>
            <w:tcW w:type="dxa" w:w="3402"/>
            <w:vAlign w:val="center"/>
            <w:tcBorders>
              <w:top w:val="nil"/>
              <w:bottom w:val="nil"/>
              <w:left w:val="nil"/>
              <w:right w:val="nil"/>
            </w:tcBorders>
          </w:tcPr>
          <w:p>
            <w:pPr>
              <w:keepNext/>
              <w:spacing w:after="20"/>
              <w:jc w:val="center"/>
            </w:pPr>
            <w:r/>
            <w:r>
              <w:rPr>
                <w:rFonts w:ascii="Times New Roman" w:hAnsi="Times New Roman" w:eastAsia="宋体"/>
                <w:b w:val="0"/>
                <w:sz w:val="17"/>
              </w:rPr>
              <w:t>异丁酸乙酯</w:t>
            </w:r>
          </w:p>
        </w:tc>
        <w:tc>
          <w:tcPr>
            <w:tcW w:type="dxa" w:w="1701"/>
            <w:vAlign w:val="center"/>
            <w:tcBorders>
              <w:top w:val="nil"/>
              <w:bottom w:val="nil"/>
              <w:left w:val="nil"/>
              <w:right w:val="nil"/>
            </w:tcBorders>
          </w:tcPr>
          <w:p>
            <w:pPr>
              <w:keepNext/>
              <w:spacing w:after="20"/>
              <w:jc w:val="center"/>
            </w:pPr>
            <w:r/>
            <w:r>
              <w:rPr>
                <w:rFonts w:ascii="Times New Roman" w:hAnsi="Times New Roman" w:eastAsia="宋体"/>
                <w:b w:val="0"/>
                <w:sz w:val="17"/>
              </w:rPr>
              <w:t>1</w:t>
            </w:r>
          </w:p>
        </w:tc>
        <w:tc>
          <w:tcPr>
            <w:tcW w:type="dxa" w:w="2268"/>
            <w:vAlign w:val="center"/>
            <w:tcBorders>
              <w:top w:val="nil"/>
              <w:bottom w:val="nil"/>
              <w:left w:val="nil"/>
              <w:right w:val="nil"/>
            </w:tcBorders>
          </w:tcPr>
          <w:p>
            <w:pPr>
              <w:keepNext/>
              <w:spacing w:after="20"/>
              <w:jc w:val="center"/>
            </w:pPr>
            <w:r/>
            <w:r>
              <w:rPr>
                <w:rFonts w:ascii="Times New Roman" w:hAnsi="Times New Roman" w:eastAsia="宋体"/>
                <w:b w:val="0"/>
                <w:sz w:val="17"/>
              </w:rPr>
              <w:t>0.40%</w:t>
            </w:r>
          </w:p>
        </w:tc>
      </w:tr>
      <w:tr>
        <w:trPr>
          <w:cantSplit/>
        </w:trPr>
        <w:tc>
          <w:tcPr>
            <w:tcW w:type="dxa" w:w="3402"/>
            <w:vAlign w:val="center"/>
            <w:tcBorders>
              <w:top w:val="nil"/>
              <w:bottom w:val="nil"/>
              <w:left w:val="nil"/>
              <w:right w:val="nil"/>
            </w:tcBorders>
          </w:tcPr>
          <w:p>
            <w:pPr>
              <w:keepNext/>
              <w:spacing w:after="20"/>
              <w:jc w:val="center"/>
            </w:pPr>
            <w:r/>
            <w:r>
              <w:rPr>
                <w:rFonts w:ascii="Times New Roman" w:hAnsi="Times New Roman" w:eastAsia="宋体"/>
                <w:b w:val="0"/>
                <w:sz w:val="17"/>
              </w:rPr>
              <w:t>糠醛</w:t>
            </w:r>
          </w:p>
        </w:tc>
        <w:tc>
          <w:tcPr>
            <w:tcW w:type="dxa" w:w="1701"/>
            <w:vAlign w:val="center"/>
            <w:tcBorders>
              <w:top w:val="nil"/>
              <w:bottom w:val="nil"/>
              <w:left w:val="nil"/>
              <w:right w:val="nil"/>
            </w:tcBorders>
          </w:tcPr>
          <w:p>
            <w:pPr>
              <w:keepNext/>
              <w:spacing w:after="20"/>
              <w:jc w:val="center"/>
            </w:pPr>
            <w:r/>
            <w:r>
              <w:rPr>
                <w:rFonts w:ascii="Times New Roman" w:hAnsi="Times New Roman" w:eastAsia="宋体"/>
                <w:b w:val="0"/>
                <w:sz w:val="17"/>
              </w:rPr>
              <w:t>1</w:t>
            </w:r>
          </w:p>
        </w:tc>
        <w:tc>
          <w:tcPr>
            <w:tcW w:type="dxa" w:w="2268"/>
            <w:vAlign w:val="center"/>
            <w:tcBorders>
              <w:top w:val="nil"/>
              <w:bottom w:val="nil"/>
              <w:left w:val="nil"/>
              <w:right w:val="nil"/>
            </w:tcBorders>
          </w:tcPr>
          <w:p>
            <w:pPr>
              <w:keepNext/>
              <w:spacing w:after="20"/>
              <w:jc w:val="center"/>
            </w:pPr>
            <w:r/>
            <w:r>
              <w:rPr>
                <w:rFonts w:ascii="Times New Roman" w:hAnsi="Times New Roman" w:eastAsia="宋体"/>
                <w:b w:val="0"/>
                <w:sz w:val="17"/>
              </w:rPr>
              <w:t>0.40%</w:t>
            </w:r>
          </w:p>
        </w:tc>
      </w:tr>
      <w:tr>
        <w:trPr>
          <w:cantSplit/>
        </w:trPr>
        <w:tc>
          <w:tcPr>
            <w:tcW w:type="dxa" w:w="3402"/>
            <w:vAlign w:val="center"/>
            <w:tcBorders>
              <w:top w:val="nil"/>
              <w:bottom w:val="single" w:sz="12" w:color="000000"/>
              <w:left w:val="nil"/>
              <w:right w:val="nil"/>
            </w:tcBorders>
          </w:tcPr>
          <w:p>
            <w:pPr>
              <w:spacing w:after="20"/>
              <w:jc w:val="center"/>
            </w:pPr>
            <w:r/>
            <w:r>
              <w:rPr>
                <w:rFonts w:ascii="Times New Roman" w:hAnsi="Times New Roman" w:eastAsia="宋体"/>
                <w:b w:val="0"/>
                <w:sz w:val="17"/>
              </w:rPr>
              <w:t>苯乙醛</w:t>
            </w:r>
          </w:p>
        </w:tc>
        <w:tc>
          <w:tcPr>
            <w:tcW w:type="dxa" w:w="1701"/>
            <w:vAlign w:val="center"/>
            <w:tcBorders>
              <w:top w:val="nil"/>
              <w:bottom w:val="single" w:sz="12" w:color="000000"/>
              <w:left w:val="nil"/>
              <w:right w:val="nil"/>
            </w:tcBorders>
          </w:tcPr>
          <w:p>
            <w:pPr>
              <w:spacing w:after="20"/>
              <w:jc w:val="center"/>
            </w:pPr>
            <w:r/>
            <w:r>
              <w:rPr>
                <w:rFonts w:ascii="Times New Roman" w:hAnsi="Times New Roman" w:eastAsia="宋体"/>
                <w:b w:val="0"/>
                <w:sz w:val="17"/>
              </w:rPr>
              <w:t>1</w:t>
            </w:r>
          </w:p>
        </w:tc>
        <w:tc>
          <w:tcPr>
            <w:tcW w:type="dxa" w:w="2268"/>
            <w:vAlign w:val="center"/>
            <w:tcBorders>
              <w:top w:val="nil"/>
              <w:bottom w:val="single" w:sz="12" w:color="000000"/>
              <w:left w:val="nil"/>
              <w:right w:val="nil"/>
            </w:tcBorders>
          </w:tcPr>
          <w:p>
            <w:pPr>
              <w:spacing w:after="20"/>
              <w:jc w:val="center"/>
            </w:pPr>
            <w:r/>
            <w:r>
              <w:rPr>
                <w:rFonts w:ascii="Times New Roman" w:hAnsi="Times New Roman" w:eastAsia="宋体"/>
                <w:b w:val="0"/>
                <w:sz w:val="17"/>
              </w:rPr>
              <w:t>0.40%</w:t>
            </w:r>
          </w:p>
        </w:tc>
      </w:tr>
    </w:tbl>
    <w:p>
      <w:pPr>
        <w:spacing w:before="0" w:after="0" w:line="240" w:lineRule="auto"/>
      </w:pPr>
      <w:r>
        <w:rPr>
          <w:sz w:val="12"/>
        </w:rPr>
        <w:t xml:space="preserve"> </w:t>
      </w:r>
    </w:p>
    <w:p>
      <w:pPr>
        <w:keepNext/>
        <w:spacing w:line="312" w:lineRule="auto" w:after="60"/>
        <w:ind w:firstLine="420"/>
      </w:pPr>
      <w:r>
        <w:rPr>
          <w:rFonts w:ascii="Times New Roman" w:hAnsi="Times New Roman" w:eastAsia="宋体"/>
          <w:b w:val="0"/>
          <w:sz w:val="21"/>
        </w:rPr>
        <w:t>常规缺失采用同指标可观测值的均值填补。对对数尺度指标，均值在原编码空间中计算；对线性尺度指标，均值在线性空间中计算。记第 j 个指标在当前训练集中的可观测样本集合为 Oⱼ(T)，则</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vAlign w:val="center"/>
          </w:tcPr>
          <w:p>
            <w:pPr>
              <w:spacing w:before="0" w:after="0" w:line="240" w:lineRule="auto"/>
              <w:jc w:val="center"/>
            </w:pPr>
            <m:oMath>
              <m:sSub>
                <m:e>
                  <m:bar>
                    <m:barPr>
                      <m:pos m:val="top"/>
                    </m:barPr>
                    <m:e>
                      <m:r>
                        <m:t>x</m:t>
                      </m:r>
                    </m:e>
                  </m:bar>
                </m:e>
                <m:sub>
                  <m:r>
                    <m:t>j</m:t>
                  </m:r>
                </m:sub>
              </m:sSub>
              <m:r>
                <m:t>=</m:t>
              </m:r>
              <m:f>
                <m:fPr>
                  <m:type m:val="bar"/>
                </m:fPr>
                <m:num>
                  <m:r>
                    <m:t>1</m:t>
                  </m:r>
                </m:num>
                <m:den>
                  <m:d>
                    <m:dPr>
                      <m:begChr m:val="|"/>
                      <m:sepChr m:val=""/>
                      <m:endChr m:val="|"/>
                    </m:dPr>
                    <m:e>
                      <m:sSubSup>
                        <m:e>
                          <m:r>
                            <m:t>𝒪</m:t>
                          </m:r>
                        </m:e>
                        <m:sub>
                          <m:r>
                            <m:t>j</m:t>
                          </m:r>
                        </m:sub>
                        <m:sup>
                          <m:r>
                            <m:rPr>
                              <m:sty m:val="p"/>
                            </m:rPr>
                            <m:t>train</m:t>
                          </m:r>
                        </m:sup>
                      </m:sSubSup>
                    </m:e>
                  </m:d>
                </m:den>
              </m:f>
              <m:nary>
                <m:naryPr>
                  <m:chr m:val="∑"/>
                  <m:limLoc m:val="subSup"/>
                  <m:grow m:val="1"/>
                  <m:subHide m:val="off"/>
                  <m:supHide m:val="on"/>
                </m:naryPr>
                <m:sub>
                  <m:r>
                    <m:t>i∈</m:t>
                  </m:r>
                  <m:sSubSup>
                    <m:e>
                      <m:r>
                        <m:t>𝒪</m:t>
                      </m:r>
                    </m:e>
                    <m:sub>
                      <m:r>
                        <m:t>j</m:t>
                      </m:r>
                    </m:sub>
                    <m:sup>
                      <m:r>
                        <m:rPr>
                          <m:sty m:val="p"/>
                        </m:rPr>
                        <m:t>train</m:t>
                      </m:r>
                    </m:sup>
                  </m:sSubSup>
                </m:sub>
                <m:sup/>
                <m:e>
                  <m:sSub>
                    <m:e>
                      <m:r>
                        <m:t>x</m:t>
                      </m:r>
                    </m:e>
                    <m:sub>
                      <m:r>
                        <m:t>ij</m:t>
                      </m:r>
                    </m:sub>
                  </m:sSub>
                </m:e>
              </m:nary>
              <m:r>
                <m:t>,</m:t>
              </m:r>
            </m:oMath>
          </w:p>
          <w:p>
            <w:pPr>
              <w:spacing w:before="0" w:after="0" w:line="240" w:lineRule="auto"/>
              <w:jc w:val="center"/>
            </w:pPr>
            <m:oMath>
              <m:sSub>
                <m:e>
                  <m:limUpp>
                    <m:e>
                      <m:r>
                        <m:t>x</m:t>
                      </m:r>
                    </m:e>
                    <m:lim>
                      <m:r>
                        <m:t>~</m:t>
                      </m:r>
                    </m:lim>
                  </m:limUpp>
                </m:e>
                <m:sub>
                  <m:r>
                    <m:t>ij</m:t>
                  </m:r>
                </m:sub>
              </m:sSub>
              <m:r>
                <m:t>=</m:t>
              </m:r>
              <m:d>
                <m:dPr>
                  <m:begChr m:val="{"/>
                  <m:sepChr m:val=""/>
                  <m:endChr m:val=""/>
                </m:dPr>
                <m:e>
                  <m:m>
                    <m:mPr>
                      <m:baseJc m:val="center"/>
                      <m:plcHide m:val="on"/>
                      <m:mcs>
                        <m:mc>
                          <m:mcPr>
                            <m:count m:val="2"/>
                            <m:mcJc m:val="center"/>
                          </m:mcPr>
                        </m:mc>
                      </m:mcs>
                    </m:mPr>
                    <m:mr>
                      <m:e>
                        <m:sSub>
                          <m:e>
                            <m:bar>
                              <m:barPr>
                                <m:pos m:val="top"/>
                              </m:barPr>
                              <m:e>
                                <m:r>
                                  <m:t>x</m:t>
                                </m:r>
                              </m:e>
                            </m:bar>
                          </m:e>
                          <m:sub>
                            <m:r>
                              <m:t>j</m:t>
                            </m:r>
                          </m:sub>
                        </m:sSub>
                        <m:r>
                          <m:t>,</m:t>
                        </m:r>
                      </m:e>
                      <m:e>
                        <m:sSub>
                          <m:e>
                            <m:r>
                              <m:t>x</m:t>
                            </m:r>
                          </m:e>
                          <m:sub>
                            <m:r>
                              <m:t>ij</m:t>
                            </m:r>
                          </m:sub>
                        </m:sSub>
                        <m:r>
                          <m:rPr>
                            <m:nor/>
                          </m:rPr>
                          <m:t> 缺失</m:t>
                        </m:r>
                        <m:r>
                          <m:t>,</m:t>
                        </m:r>
                      </m:e>
                    </m:mr>
                    <m:mr>
                      <m:e>
                        <m:sSub>
                          <m:e>
                            <m:r>
                              <m:t>x</m:t>
                            </m:r>
                          </m:e>
                          <m:sub>
                            <m:r>
                              <m:t>ij</m:t>
                            </m:r>
                          </m:sub>
                        </m:sSub>
                        <m:r>
                          <m:t>,</m:t>
                        </m:r>
                      </m:e>
                      <m:e>
                        <m:r>
                          <m:rPr>
                            <m:nor/>
                          </m:rPr>
                          <m:t>其他</m:t>
                        </m:r>
                        <m:r>
                          <m:t>.</m:t>
                        </m:r>
                      </m:e>
                    </m:mr>
                  </m:m>
                </m:e>
              </m:d>
            </m:oMath>
          </w:p>
        </w:tc>
        <w:tc>
          <w:tcPr>
            <w:tcW w:type="dxa" w:w="964"/>
            <w:vAlign w:val="center"/>
          </w:tcPr>
          <w:p>
            <w:pPr>
              <w:jc w:val="right"/>
            </w:pPr>
            <w:r>
              <w:rPr>
                <w:rFonts w:ascii="Times New Roman" w:hAnsi="Times New Roman" w:eastAsia="宋体"/>
                <w:b w:val="0"/>
                <w:sz w:val="18"/>
              </w:rPr>
              <w:t>（2）</w:t>
            </w:r>
          </w:p>
        </w:tc>
      </w:tr>
    </w:tbl>
    <w:p>
      <w:pPr>
        <w:spacing w:before="0" w:after="0" w:line="240" w:lineRule="auto"/>
      </w:pPr>
      <w:r>
        <w:rPr>
          <w:sz w:val="16"/>
        </w:rPr>
        <w:t xml:space="preserve"> </w:t>
      </w:r>
    </w:p>
    <w:p>
      <w:pPr>
        <w:spacing w:line="312" w:lineRule="auto" w:after="60"/>
        <w:ind w:firstLine="420"/>
      </w:pPr>
      <w:r>
        <w:rPr>
          <w:rFonts w:ascii="Times New Roman" w:hAnsi="Times New Roman" w:eastAsia="宋体"/>
          <w:b w:val="0"/>
          <w:sz w:val="21"/>
        </w:rPr>
        <w:t>其中，可观测样本集合仅包含当前训练集中的有效观测。交叉验证时，在各训练折内重新计算填补均值，并应用于对应验证折；测试集评价时使用完整训练集估计的填补均值。</w:t>
      </w:r>
    </w:p>
    <w:p>
      <w:pPr>
        <w:spacing w:line="312" w:lineRule="auto" w:after="60"/>
        <w:ind w:firstLine="420"/>
      </w:pPr>
      <w:r>
        <w:rPr>
          <w:rFonts w:ascii="Times New Roman" w:hAnsi="Times New Roman" w:eastAsia="宋体"/>
          <w:b w:val="0"/>
          <w:sz w:val="21"/>
        </w:rPr>
        <w:t>疑似异常的识别只使用化学测量本身，不使用任何感官标签，属于无监督的数据有效性核查，因此可在全样本上统一执行；需要说明的是，该规则的最大值、中位数与第99百分位数由全部样本计算，虽未使用感官标签，仍使用了测试集的化学测量。被标记的观测按其所属指标的训练集均值填补（填补均值排除已标记的异常值本身）。这些观测仍只是统计意义上的疑似异常，是否为录入或单位错误尚无法确认。疑似异常按照统计偏离程度识别。对适用指标，记最大值、次大值、中位数和第99百分位数分别为x₍₁₎、x₍₂₎、mⱼ 和 q₀.₉₉,ⱼ。当最大值相对中位数偏离超过100倍，且相对次大值超过20倍或相对第99百分位数超过15倍时，将其标记为疑似异常，再按缺失值流程处理。处理效果仍需通过保留原值与填补处理的对照实验进一步检验。</w:t>
      </w:r>
    </w:p>
    <w:p>
      <w:pPr>
        <w:keepNext/>
        <w:spacing w:before="100" w:after="60"/>
        <w:jc w:val="center"/>
      </w:pPr>
      <w:r>
        <w:rPr>
          <w:rFonts w:ascii="Times New Roman" w:hAnsi="Times New Roman" w:eastAsia="黑体"/>
          <w:b/>
          <w:sz w:val="18"/>
        </w:rPr>
        <w:t>表2  疑似异常观测的识别结果</w:t>
      </w:r>
    </w:p>
    <w:tbl>
      <w:tblPr>
        <w:tblW w:type="auto" w:w="0"/>
        <w:jc w:val="center"/>
        <w:tblLayout w:type="fixed"/>
        <w:tblLook w:firstColumn="1" w:firstRow="1" w:lastColumn="0" w:lastRow="0" w:noHBand="0" w:noVBand="1" w:val="04A0"/>
      </w:tblPr>
      <w:tblGrid>
        <w:gridCol w:w="3099"/>
        <w:gridCol w:w="3099"/>
        <w:gridCol w:w="3099"/>
      </w:tblGrid>
      <w:tr>
        <w:trPr>
          <w:tblHeader/>
        </w:trPr>
        <w:tc>
          <w:tcPr>
            <w:tcW w:type="dxa" w:w="2948"/>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7"/>
              </w:rPr>
              <w:t>指标</w:t>
            </w:r>
          </w:p>
        </w:tc>
        <w:tc>
          <w:tcPr>
            <w:tcW w:type="dxa" w:w="1474"/>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7"/>
              </w:rPr>
              <w:t>观测值</w:t>
            </w:r>
          </w:p>
        </w:tc>
        <w:tc>
          <w:tcPr>
            <w:tcW w:type="dxa" w:w="340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7"/>
              </w:rPr>
              <w:t>统计偏离特征</w:t>
            </w:r>
          </w:p>
        </w:tc>
      </w:tr>
      <w:tr>
        <w:tc>
          <w:tcPr>
            <w:tcW w:type="dxa" w:w="2948"/>
            <w:vAlign w:val="center"/>
            <w:tcBorders>
              <w:top w:val="nil"/>
              <w:bottom w:val="nil"/>
              <w:left w:val="nil"/>
              <w:right w:val="nil"/>
            </w:tcBorders>
          </w:tcPr>
          <w:p>
            <w:pPr>
              <w:spacing w:after="20"/>
              <w:jc w:val="left"/>
            </w:pPr>
            <w:r/>
            <w:r>
              <w:rPr>
                <w:rFonts w:ascii="Times New Roman" w:hAnsi="Times New Roman" w:eastAsia="宋体"/>
                <w:b w:val="0"/>
                <w:sz w:val="17"/>
              </w:rPr>
              <w:t>2-甲基四氢呋喃-3-酮</w:t>
            </w:r>
          </w:p>
        </w:tc>
        <w:tc>
          <w:tcPr>
            <w:tcW w:type="dxa" w:w="1474"/>
            <w:vAlign w:val="center"/>
            <w:tcBorders>
              <w:top w:val="nil"/>
              <w:bottom w:val="nil"/>
              <w:left w:val="nil"/>
              <w:right w:val="nil"/>
            </w:tcBorders>
          </w:tcPr>
          <w:p>
            <w:pPr>
              <w:spacing w:after="20"/>
              <w:jc w:val="center"/>
            </w:pPr>
            <w:r/>
            <w:r>
              <w:rPr>
                <w:rFonts w:ascii="Times New Roman" w:hAnsi="Times New Roman" w:eastAsia="宋体"/>
                <w:b w:val="0"/>
                <w:sz w:val="17"/>
              </w:rPr>
              <w:t>12596.43</w:t>
            </w:r>
          </w:p>
        </w:tc>
        <w:tc>
          <w:tcPr>
            <w:tcW w:type="dxa" w:w="3402"/>
            <w:vAlign w:val="center"/>
            <w:tcBorders>
              <w:top w:val="nil"/>
              <w:bottom w:val="nil"/>
              <w:left w:val="nil"/>
              <w:right w:val="nil"/>
            </w:tcBorders>
          </w:tcPr>
          <w:p>
            <w:pPr>
              <w:spacing w:after="20"/>
              <w:jc w:val="left"/>
            </w:pPr>
            <w:r/>
            <w:r>
              <w:rPr>
                <w:rFonts w:ascii="Times New Roman" w:hAnsi="Times New Roman" w:eastAsia="宋体"/>
                <w:b w:val="0"/>
                <w:sz w:val="17"/>
              </w:rPr>
              <w:t>为同列次大观测的164倍</w:t>
            </w:r>
          </w:p>
        </w:tc>
      </w:tr>
      <w:tr>
        <w:tc>
          <w:tcPr>
            <w:tcW w:type="dxa" w:w="2948"/>
            <w:vAlign w:val="center"/>
            <w:tcBorders>
              <w:top w:val="nil"/>
              <w:bottom w:val="nil"/>
              <w:left w:val="nil"/>
              <w:right w:val="nil"/>
            </w:tcBorders>
          </w:tcPr>
          <w:p>
            <w:pPr>
              <w:spacing w:after="20"/>
              <w:jc w:val="left"/>
            </w:pPr>
            <w:r/>
            <w:r>
              <w:rPr>
                <w:rFonts w:ascii="Times New Roman" w:hAnsi="Times New Roman" w:eastAsia="宋体"/>
                <w:b w:val="0"/>
                <w:sz w:val="17"/>
              </w:rPr>
              <w:t>(E)-β-大马士革酮</w:t>
            </w:r>
          </w:p>
        </w:tc>
        <w:tc>
          <w:tcPr>
            <w:tcW w:type="dxa" w:w="1474"/>
            <w:vAlign w:val="center"/>
            <w:tcBorders>
              <w:top w:val="nil"/>
              <w:bottom w:val="nil"/>
              <w:left w:val="nil"/>
              <w:right w:val="nil"/>
            </w:tcBorders>
          </w:tcPr>
          <w:p>
            <w:pPr>
              <w:spacing w:after="20"/>
              <w:jc w:val="center"/>
            </w:pPr>
            <w:r/>
            <w:r>
              <w:rPr>
                <w:rFonts w:ascii="Times New Roman" w:hAnsi="Times New Roman" w:eastAsia="宋体"/>
                <w:b w:val="0"/>
                <w:sz w:val="17"/>
              </w:rPr>
              <w:t>5991.01</w:t>
            </w:r>
          </w:p>
        </w:tc>
        <w:tc>
          <w:tcPr>
            <w:tcW w:type="dxa" w:w="3402"/>
            <w:vAlign w:val="center"/>
            <w:tcBorders>
              <w:top w:val="nil"/>
              <w:bottom w:val="nil"/>
              <w:left w:val="nil"/>
              <w:right w:val="nil"/>
            </w:tcBorders>
          </w:tcPr>
          <w:p>
            <w:pPr>
              <w:spacing w:after="20"/>
              <w:jc w:val="left"/>
            </w:pPr>
            <w:r/>
            <w:r>
              <w:rPr>
                <w:rFonts w:ascii="Times New Roman" w:hAnsi="Times New Roman" w:eastAsia="宋体"/>
                <w:b w:val="0"/>
                <w:sz w:val="17"/>
              </w:rPr>
              <w:t>为同列次大观测的53倍</w:t>
            </w:r>
          </w:p>
        </w:tc>
      </w:tr>
      <w:tr>
        <w:tc>
          <w:tcPr>
            <w:tcW w:type="dxa" w:w="2948"/>
            <w:vAlign w:val="center"/>
            <w:tcBorders>
              <w:top w:val="nil"/>
              <w:bottom w:val="single" w:sz="12" w:color="000000"/>
              <w:left w:val="nil"/>
              <w:right w:val="nil"/>
            </w:tcBorders>
          </w:tcPr>
          <w:p>
            <w:pPr>
              <w:spacing w:after="20"/>
              <w:jc w:val="left"/>
            </w:pPr>
            <w:r/>
            <w:r>
              <w:rPr>
                <w:rFonts w:ascii="Times New Roman" w:hAnsi="Times New Roman" w:eastAsia="宋体"/>
                <w:b w:val="0"/>
                <w:sz w:val="17"/>
              </w:rPr>
              <w:t>3-甲基丁醛</w:t>
            </w:r>
          </w:p>
        </w:tc>
        <w:tc>
          <w:tcPr>
            <w:tcW w:type="dxa" w:w="1474"/>
            <w:vAlign w:val="center"/>
            <w:tcBorders>
              <w:top w:val="nil"/>
              <w:bottom w:val="single" w:sz="12" w:color="000000"/>
              <w:left w:val="nil"/>
              <w:right w:val="nil"/>
            </w:tcBorders>
          </w:tcPr>
          <w:p>
            <w:pPr>
              <w:spacing w:after="20"/>
              <w:jc w:val="center"/>
            </w:pPr>
            <w:r/>
            <w:r>
              <w:rPr>
                <w:rFonts w:ascii="Times New Roman" w:hAnsi="Times New Roman" w:eastAsia="宋体"/>
                <w:b w:val="0"/>
                <w:sz w:val="17"/>
              </w:rPr>
              <w:t>127.06</w:t>
            </w:r>
          </w:p>
        </w:tc>
        <w:tc>
          <w:tcPr>
            <w:tcW w:type="dxa" w:w="3402"/>
            <w:vAlign w:val="center"/>
            <w:tcBorders>
              <w:top w:val="nil"/>
              <w:bottom w:val="single" w:sz="12" w:color="000000"/>
              <w:left w:val="nil"/>
              <w:right w:val="nil"/>
            </w:tcBorders>
          </w:tcPr>
          <w:p>
            <w:pPr>
              <w:spacing w:after="20"/>
              <w:jc w:val="left"/>
            </w:pPr>
            <w:r/>
            <w:r>
              <w:rPr>
                <w:rFonts w:ascii="Times New Roman" w:hAnsi="Times New Roman" w:eastAsia="宋体"/>
                <w:b w:val="0"/>
                <w:sz w:val="17"/>
              </w:rPr>
              <w:t>为第99百分位数的20.9倍、中位数的1172倍</w:t>
            </w:r>
          </w:p>
        </w:tc>
      </w:tr>
    </w:tbl>
    <w:p>
      <w:pPr>
        <w:spacing w:before="0" w:after="0" w:line="240" w:lineRule="auto"/>
      </w:pPr>
      <w:r>
        <w:rPr>
          <w:sz w:val="12"/>
        </w:rPr>
        <w:t xml:space="preserve"> </w:t>
      </w:r>
    </w:p>
    <w:p>
      <w:pPr>
        <w:spacing w:line="312" w:lineRule="auto" w:after="60"/>
        <w:ind w:firstLine="420"/>
      </w:pPr>
      <w:r>
        <w:rPr>
          <w:rFonts w:ascii="Times New Roman" w:hAnsi="Times New Roman" w:eastAsia="宋体"/>
          <w:b w:val="0"/>
          <w:sz w:val="21"/>
        </w:rPr>
        <w:t>对于疑似下限替代现象，先识别重复低值编码，再结合各指标低端取值的聚集情况及来源资料进行核验。建模矩阵保留现有数值编码；还原矩阵中的置零仅作为计算约定。对全零还原值较多的第2号样本进行核查，未发现足以排除该样本的证据，故予以保留。</w:t>
      </w:r>
    </w:p>
    <w:p>
      <w:pPr>
        <w:keepNext/>
        <w:spacing w:before="140" w:after="80"/>
      </w:pPr>
      <w:r>
        <w:rPr>
          <w:rFonts w:ascii="Times New Roman" w:hAnsi="Times New Roman" w:eastAsia="黑体"/>
          <w:b/>
          <w:sz w:val="22"/>
        </w:rPr>
        <w:t>5.2.3  数据划分、标准化与三问共用输入</w:t>
      </w:r>
    </w:p>
    <w:p>
      <w:pPr>
        <w:keepNext/>
        <w:spacing w:line="312" w:lineRule="auto" w:after="60"/>
        <w:ind w:firstLine="420"/>
      </w:pPr>
      <w:r>
        <w:rPr>
          <w:rFonts w:ascii="Times New Roman" w:hAnsi="Times New Roman" w:eastAsia="宋体"/>
          <w:b w:val="0"/>
          <w:sz w:val="21"/>
        </w:rPr>
        <w:t>问题一按啤酒风格分层划分训练集与测试集，分别包含175款和75款样本，随机种子设为0。为减少测试信息对建模的影响，标准化参数只由训练集估计：</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vAlign w:val="center"/>
          </w:tcPr>
          <w:p>
            <w:pPr>
              <w:spacing w:before="0" w:after="0" w:line="240" w:lineRule="auto"/>
              <w:jc w:val="center"/>
            </w:pPr>
            <m:oMath>
              <m:sSub>
                <m:e>
                  <m:r>
                    <m:t>z</m:t>
                  </m:r>
                </m:e>
                <m:sub>
                  <m:r>
                    <m:t>ij</m:t>
                  </m:r>
                </m:sub>
              </m:sSub>
              <m:r>
                <m:t>=</m:t>
              </m:r>
              <m:f>
                <m:fPr>
                  <m:type m:val="bar"/>
                </m:fPr>
                <m:num>
                  <m:sSub>
                    <m:e>
                      <m:r>
                        <m:t>x</m:t>
                      </m:r>
                    </m:e>
                    <m:sub>
                      <m:r>
                        <m:t>ij</m:t>
                      </m:r>
                    </m:sub>
                  </m:sSub>
                  <m:r>
                    <m:t>−</m:t>
                  </m:r>
                  <m:sSubSup>
                    <m:e>
                      <m:r>
                        <m:t>μ</m:t>
                      </m:r>
                    </m:e>
                    <m:sub>
                      <m:r>
                        <m:t>j</m:t>
                      </m:r>
                    </m:sub>
                    <m:sup>
                      <m:r>
                        <m:rPr>
                          <m:sty m:val="p"/>
                        </m:rPr>
                        <m:t>train</m:t>
                      </m:r>
                    </m:sup>
                  </m:sSubSup>
                </m:num>
                <m:den>
                  <m:sSubSup>
                    <m:e>
                      <m:r>
                        <m:t>σ</m:t>
                      </m:r>
                    </m:e>
                    <m:sub>
                      <m:r>
                        <m:t>j</m:t>
                      </m:r>
                    </m:sub>
                    <m:sup>
                      <m:r>
                        <m:rPr>
                          <m:sty m:val="p"/>
                        </m:rPr>
                        <m:t>train</m:t>
                      </m:r>
                    </m:sup>
                  </m:sSubSup>
                </m:den>
              </m:f>
              <m:r>
                <m:t>,</m:t>
              </m:r>
            </m:oMath>
          </w:p>
          <w:p>
            <w:pPr>
              <w:spacing w:before="0" w:after="0" w:line="240" w:lineRule="auto"/>
              <w:jc w:val="center"/>
            </w:pPr>
            <m:oMath>
              <m:sSubSup>
                <m:e>
                  <m:r>
                    <m:t>μ</m:t>
                  </m:r>
                </m:e>
                <m:sub>
                  <m:r>
                    <m:t>j</m:t>
                  </m:r>
                </m:sub>
                <m:sup>
                  <m:r>
                    <m:rPr>
                      <m:sty m:val="p"/>
                    </m:rPr>
                    <m:t>train</m:t>
                  </m:r>
                </m:sup>
              </m:sSubSup>
              <m:r>
                <m:t>=</m:t>
              </m:r>
              <m:f>
                <m:fPr>
                  <m:type m:val="bar"/>
                </m:fPr>
                <m:num>
                  <m:r>
                    <m:t>1</m:t>
                  </m:r>
                </m:num>
                <m:den>
                  <m:d>
                    <m:dPr>
                      <m:begChr m:val="|"/>
                      <m:sepChr m:val=""/>
                      <m:endChr m:val="|"/>
                    </m:dPr>
                    <m:e>
                      <m:r>
                        <m:t>𝒯</m:t>
                      </m:r>
                    </m:e>
                  </m:d>
                </m:den>
              </m:f>
              <m:nary>
                <m:naryPr>
                  <m:chr m:val="∑"/>
                  <m:limLoc m:val="subSup"/>
                  <m:grow m:val="1"/>
                  <m:subHide m:val="off"/>
                  <m:supHide m:val="on"/>
                </m:naryPr>
                <m:sub>
                  <m:r>
                    <m:t>i∈𝒯</m:t>
                  </m:r>
                </m:sub>
                <m:sup/>
                <m:e>
                  <m:sSub>
                    <m:e>
                      <m:r>
                        <m:t>x</m:t>
                      </m:r>
                    </m:e>
                    <m:sub>
                      <m:r>
                        <m:t>ij</m:t>
                      </m:r>
                    </m:sub>
                  </m:sSub>
                </m:e>
              </m:nary>
              <m:r>
                <m:t>.</m:t>
              </m:r>
            </m:oMath>
          </w:p>
        </w:tc>
        <w:tc>
          <w:tcPr>
            <w:tcW w:type="dxa" w:w="964"/>
            <w:vAlign w:val="center"/>
          </w:tcPr>
          <w:p>
            <w:pPr>
              <w:jc w:val="right"/>
            </w:pPr>
            <w:r>
              <w:rPr>
                <w:rFonts w:ascii="Times New Roman" w:hAnsi="Times New Roman" w:eastAsia="宋体"/>
                <w:b w:val="0"/>
                <w:sz w:val="18"/>
              </w:rPr>
              <w:t>（3）</w:t>
            </w:r>
          </w:p>
        </w:tc>
      </w:tr>
    </w:tbl>
    <w:p>
      <w:pPr>
        <w:spacing w:before="0" w:after="0" w:line="240" w:lineRule="auto"/>
      </w:pPr>
      <w:r>
        <w:rPr>
          <w:sz w:val="16"/>
        </w:rPr>
        <w:t xml:space="preserve"> </w:t>
      </w:r>
    </w:p>
    <w:p>
      <w:pPr>
        <w:spacing w:line="312" w:lineRule="auto" w:after="60"/>
        <w:ind w:firstLine="420"/>
      </w:pPr>
      <w:r>
        <w:rPr>
          <w:rFonts w:ascii="Times New Roman" w:hAnsi="Times New Roman" w:eastAsia="宋体"/>
          <w:b w:val="0"/>
          <w:sz w:val="21"/>
        </w:rPr>
        <w:t>统一预处理形成的数据输入及其用途见表3。问题二与问题三继续使用相同样本索引和处理后的化合物矩阵，不再重复进行尺度识别或异常处理。</w:t>
      </w:r>
    </w:p>
    <w:p>
      <w:pPr>
        <w:keepNext/>
        <w:spacing w:before="100" w:after="60"/>
        <w:jc w:val="center"/>
      </w:pPr>
      <w:r>
        <w:rPr>
          <w:rFonts w:ascii="Times New Roman" w:hAnsi="Times New Roman" w:eastAsia="黑体"/>
          <w:b/>
          <w:sz w:val="18"/>
        </w:rPr>
        <w:t>表3  三个问题对统一预处理结果的使用</w:t>
      </w:r>
    </w:p>
    <w:tbl>
      <w:tblPr>
        <w:tblW w:type="auto" w:w="0"/>
        <w:jc w:val="center"/>
        <w:tblLayout w:type="fixed"/>
        <w:tblLook w:firstColumn="1" w:firstRow="1" w:lastColumn="0" w:lastRow="0" w:noHBand="0" w:noVBand="1" w:val="04A0"/>
      </w:tblPr>
      <w:tblGrid>
        <w:gridCol w:w="3099"/>
        <w:gridCol w:w="3099"/>
        <w:gridCol w:w="3099"/>
      </w:tblGrid>
      <w:tr>
        <w:trPr>
          <w:tblHeader/>
        </w:trPr>
        <w:tc>
          <w:tcPr>
            <w:tcW w:type="dxa" w:w="1134"/>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问题</w:t>
            </w:r>
          </w:p>
        </w:tc>
        <w:tc>
          <w:tcPr>
            <w:tcW w:type="dxa" w:w="3969"/>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共用输入</w:t>
            </w:r>
          </w:p>
        </w:tc>
        <w:tc>
          <w:tcPr>
            <w:tcW w:type="dxa" w:w="2835"/>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后续用途</w:t>
            </w:r>
          </w:p>
        </w:tc>
      </w:tr>
      <w:tr>
        <w:tc>
          <w:tcPr>
            <w:tcW w:type="dxa" w:w="1134"/>
            <w:vAlign w:val="center"/>
            <w:tcBorders>
              <w:top w:val="nil"/>
              <w:bottom w:val="nil"/>
              <w:left w:val="nil"/>
              <w:right w:val="nil"/>
            </w:tcBorders>
          </w:tcPr>
          <w:p>
            <w:pPr>
              <w:spacing w:after="20"/>
              <w:jc w:val="center"/>
            </w:pPr>
            <w:r/>
            <w:r>
              <w:rPr>
                <w:rFonts w:ascii="Times New Roman" w:hAnsi="Times New Roman" w:eastAsia="宋体"/>
                <w:b w:val="0"/>
                <w:sz w:val="16"/>
              </w:rPr>
              <w:t>问题一</w:t>
            </w:r>
          </w:p>
        </w:tc>
        <w:tc>
          <w:tcPr>
            <w:tcW w:type="dxa" w:w="3969"/>
            <w:vAlign w:val="center"/>
            <w:tcBorders>
              <w:top w:val="nil"/>
              <w:bottom w:val="nil"/>
              <w:left w:val="nil"/>
              <w:right w:val="nil"/>
            </w:tcBorders>
          </w:tcPr>
          <w:p>
            <w:pPr>
              <w:spacing w:after="20"/>
              <w:jc w:val="left"/>
            </w:pPr>
            <w:r/>
            <w:r>
              <w:rPr>
                <w:rFonts w:ascii="Times New Roman" w:hAnsi="Times New Roman" w:eastAsia="宋体"/>
                <w:b w:val="0"/>
                <w:sz w:val="16"/>
              </w:rPr>
              <w:t>标准化化合物矩阵、50维连续感官指标、风格分层划分</w:t>
            </w:r>
          </w:p>
        </w:tc>
        <w:tc>
          <w:tcPr>
            <w:tcW w:type="dxa" w:w="2835"/>
            <w:vAlign w:val="center"/>
            <w:tcBorders>
              <w:top w:val="nil"/>
              <w:bottom w:val="nil"/>
              <w:left w:val="nil"/>
              <w:right w:val="nil"/>
            </w:tcBorders>
          </w:tcPr>
          <w:p>
            <w:pPr>
              <w:spacing w:after="20"/>
              <w:jc w:val="left"/>
            </w:pPr>
            <w:r/>
            <w:r>
              <w:rPr>
                <w:rFonts w:ascii="Times New Roman" w:hAnsi="Times New Roman" w:eastAsia="宋体"/>
                <w:b w:val="0"/>
                <w:sz w:val="16"/>
              </w:rPr>
              <w:t>连续预测、相对等级构造、缺失鲁棒性检验</w:t>
            </w:r>
          </w:p>
        </w:tc>
      </w:tr>
      <w:tr>
        <w:tc>
          <w:tcPr>
            <w:tcW w:type="dxa" w:w="1134"/>
            <w:vAlign w:val="center"/>
            <w:tcBorders>
              <w:top w:val="nil"/>
              <w:bottom w:val="nil"/>
              <w:left w:val="nil"/>
              <w:right w:val="nil"/>
            </w:tcBorders>
          </w:tcPr>
          <w:p>
            <w:pPr>
              <w:spacing w:after="20"/>
              <w:jc w:val="center"/>
            </w:pPr>
            <w:r/>
            <w:r>
              <w:rPr>
                <w:rFonts w:ascii="Times New Roman" w:hAnsi="Times New Roman" w:eastAsia="宋体"/>
                <w:b w:val="0"/>
                <w:sz w:val="16"/>
              </w:rPr>
              <w:t>问题二</w:t>
            </w:r>
          </w:p>
        </w:tc>
        <w:tc>
          <w:tcPr>
            <w:tcW w:type="dxa" w:w="3969"/>
            <w:vAlign w:val="center"/>
            <w:tcBorders>
              <w:top w:val="nil"/>
              <w:bottom w:val="nil"/>
              <w:left w:val="nil"/>
              <w:right w:val="nil"/>
            </w:tcBorders>
          </w:tcPr>
          <w:p>
            <w:pPr>
              <w:spacing w:after="20"/>
              <w:jc w:val="left"/>
            </w:pPr>
            <w:r/>
            <w:r>
              <w:rPr>
                <w:rFonts w:ascii="Times New Roman" w:hAnsi="Times New Roman" w:eastAsia="宋体"/>
                <w:b w:val="0"/>
                <w:sz w:val="16"/>
              </w:rPr>
              <w:t>处理后化合物矩阵、化合物相关矩阵</w:t>
            </w:r>
          </w:p>
        </w:tc>
        <w:tc>
          <w:tcPr>
            <w:tcW w:type="dxa" w:w="2835"/>
            <w:vAlign w:val="center"/>
            <w:tcBorders>
              <w:top w:val="nil"/>
              <w:bottom w:val="nil"/>
              <w:left w:val="nil"/>
              <w:right w:val="nil"/>
            </w:tcBorders>
          </w:tcPr>
          <w:p>
            <w:pPr>
              <w:spacing w:after="20"/>
              <w:jc w:val="left"/>
            </w:pPr>
            <w:r/>
            <w:r>
              <w:rPr>
                <w:rFonts w:ascii="Times New Roman" w:hAnsi="Times New Roman" w:eastAsia="宋体"/>
                <w:b w:val="0"/>
                <w:sz w:val="16"/>
              </w:rPr>
              <w:t>共表达图构建、关键因素筛选、重采样稳定性分析</w:t>
            </w:r>
          </w:p>
        </w:tc>
      </w:tr>
      <w:tr>
        <w:tc>
          <w:tcPr>
            <w:tcW w:type="dxa" w:w="1134"/>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问题三</w:t>
            </w:r>
          </w:p>
        </w:tc>
        <w:tc>
          <w:tcPr>
            <w:tcW w:type="dxa" w:w="3969"/>
            <w:vAlign w:val="center"/>
            <w:tcBorders>
              <w:top w:val="nil"/>
              <w:bottom w:val="single" w:sz="12" w:color="000000"/>
              <w:left w:val="nil"/>
              <w:right w:val="nil"/>
            </w:tcBorders>
          </w:tcPr>
          <w:p>
            <w:pPr>
              <w:spacing w:after="20"/>
              <w:jc w:val="left"/>
            </w:pPr>
            <w:r/>
            <w:r>
              <w:rPr>
                <w:rFonts w:ascii="Times New Roman" w:hAnsi="Times New Roman" w:eastAsia="宋体"/>
                <w:b w:val="0"/>
                <w:sz w:val="16"/>
              </w:rPr>
              <w:t>处理后化合物矩阵、风格标签、缺陷化合物阈值</w:t>
            </w:r>
          </w:p>
        </w:tc>
        <w:tc>
          <w:tcPr>
            <w:tcW w:type="dxa" w:w="2835"/>
            <w:vAlign w:val="center"/>
            <w:tcBorders>
              <w:top w:val="nil"/>
              <w:bottom w:val="single" w:sz="12" w:color="000000"/>
              <w:left w:val="nil"/>
              <w:right w:val="nil"/>
            </w:tcBorders>
          </w:tcPr>
          <w:p>
            <w:pPr>
              <w:spacing w:after="20"/>
              <w:jc w:val="left"/>
            </w:pPr>
            <w:r/>
            <w:r>
              <w:rPr>
                <w:rFonts w:ascii="Times New Roman" w:hAnsi="Times New Roman" w:eastAsia="宋体"/>
                <w:b w:val="0"/>
                <w:sz w:val="16"/>
              </w:rPr>
              <w:t>风格条件生成、感官画像、跨风格迁移与缺陷约束</w:t>
            </w:r>
          </w:p>
        </w:tc>
      </w:tr>
    </w:tbl>
    <w:p>
      <w:pPr>
        <w:spacing w:before="0" w:after="0" w:line="240" w:lineRule="auto"/>
      </w:pPr>
      <w:r>
        <w:rPr>
          <w:sz w:val="12"/>
        </w:rPr>
        <w:t xml:space="preserve"> </w:t>
      </w:r>
    </w:p>
    <w:p>
      <w:pPr>
        <w:keepNext/>
        <w:spacing w:before="200" w:after="120"/>
      </w:pPr>
      <w:r>
        <w:rPr>
          <w:rFonts w:ascii="Times New Roman" w:hAnsi="Times New Roman" w:eastAsia="黑体"/>
          <w:b/>
          <w:sz w:val="26"/>
        </w:rPr>
        <w:t>5.3  模型假设</w:t>
      </w:r>
    </w:p>
    <w:p>
      <w:pPr>
        <w:spacing w:line="312" w:lineRule="auto" w:after="60"/>
      </w:pPr>
      <w:r>
        <w:rPr>
          <w:rFonts w:ascii="Times New Roman" w:hAnsi="Times New Roman" w:eastAsia="宋体"/>
          <w:b w:val="0"/>
          <w:sz w:val="21"/>
        </w:rPr>
        <w:t>（1）同一编号在不同附件中对应同一款啤酒，各样本在统一对齐后可视为相互独立的观测。</w:t>
      </w:r>
    </w:p>
    <w:p>
      <w:pPr>
        <w:spacing w:line="312" w:lineRule="auto" w:after="60"/>
      </w:pPr>
      <w:r>
        <w:rPr>
          <w:rFonts w:ascii="Times New Roman" w:hAnsi="Times New Roman" w:eastAsia="宋体"/>
          <w:b w:val="0"/>
          <w:sz w:val="21"/>
        </w:rPr>
        <w:t>（2）附件4的连续感官指标保留样本间强弱顺序，可据此构造群体内部的相对等级；该等级不等同于恢复原始人工评分。</w:t>
      </w:r>
    </w:p>
    <w:p>
      <w:pPr>
        <w:spacing w:line="312" w:lineRule="auto" w:after="60"/>
      </w:pPr>
      <w:r>
        <w:rPr>
          <w:rFonts w:ascii="Times New Roman" w:hAnsi="Times New Roman" w:eastAsia="宋体"/>
          <w:b w:val="0"/>
          <w:sz w:val="21"/>
        </w:rPr>
        <w:t>（3）缺失实验中的独立随机遮掩仅用于压力测试，不据此推断原始数据的真实缺失机制。</w:t>
      </w:r>
    </w:p>
    <w:p>
      <w:pPr>
        <w:spacing w:line="312" w:lineRule="auto" w:after="60"/>
      </w:pPr>
      <w:r>
        <w:rPr>
          <w:rFonts w:ascii="Times New Roman" w:hAnsi="Times New Roman" w:eastAsia="宋体"/>
          <w:b w:val="0"/>
          <w:sz w:val="21"/>
        </w:rPr>
        <w:t>（4）化学测量与感官指标之间可能含有非线性关系和交互作用，因此同时比较低维线性模型与树集成模型。</w:t>
      </w:r>
    </w:p>
    <w:p>
      <w:pPr>
        <w:keepNext/>
        <w:spacing w:before="200" w:after="120"/>
      </w:pPr>
      <w:r>
        <w:rPr>
          <w:rFonts w:ascii="Times New Roman" w:hAnsi="Times New Roman" w:eastAsia="黑体"/>
          <w:b/>
          <w:sz w:val="26"/>
        </w:rPr>
        <w:t>5.4  符号说明</w:t>
      </w:r>
    </w:p>
    <w:p>
      <w:pPr>
        <w:keepNext/>
        <w:spacing w:before="100" w:after="60"/>
        <w:jc w:val="center"/>
      </w:pPr>
      <w:r>
        <w:rPr>
          <w:rFonts w:ascii="Times New Roman" w:hAnsi="Times New Roman" w:eastAsia="黑体"/>
          <w:b/>
          <w:sz w:val="18"/>
        </w:rPr>
        <w:t>表4  主要符号及含义</w:t>
      </w:r>
    </w:p>
    <w:tbl>
      <w:tblPr>
        <w:tblW w:type="auto" w:w="0"/>
        <w:jc w:val="center"/>
        <w:tblLayout w:type="fixed"/>
        <w:tblLook w:firstColumn="1" w:firstRow="1" w:lastColumn="0" w:lastRow="0" w:noHBand="0" w:noVBand="1" w:val="04A0"/>
      </w:tblPr>
      <w:tblGrid>
        <w:gridCol w:w="2324"/>
        <w:gridCol w:w="2324"/>
        <w:gridCol w:w="2324"/>
        <w:gridCol w:w="2324"/>
      </w:tblGrid>
      <w:tr>
        <w:trPr>
          <w:tblHeader/>
        </w:trPr>
        <w:tc>
          <w:tcPr>
            <w:tcW w:type="dxa" w:w="1247"/>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符号</w:t>
            </w:r>
          </w:p>
        </w:tc>
        <w:tc>
          <w:tcPr>
            <w:tcW w:type="dxa" w:w="3061"/>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含义</w:t>
            </w:r>
          </w:p>
        </w:tc>
        <w:tc>
          <w:tcPr>
            <w:tcW w:type="dxa" w:w="1247"/>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符号</w:t>
            </w:r>
          </w:p>
        </w:tc>
        <w:tc>
          <w:tcPr>
            <w:tcW w:type="dxa" w:w="3061"/>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含义</w:t>
            </w:r>
          </w:p>
        </w:tc>
      </w:tr>
      <w:tr>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n、p、q</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样本数、化合物指标数、感官维度数</w:t>
            </w:r>
          </w:p>
        </w:tc>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K</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相对等级数，取7</w:t>
            </w:r>
          </w:p>
        </w:tc>
      </w:tr>
      <w:tr>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i、j、k</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样本、感官维度、等级边界下标</w:t>
            </w:r>
          </w:p>
        </w:tc>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xᵢⱼ</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第 i 款样本的第 j 项化学测量</w:t>
            </w:r>
          </w:p>
        </w:tc>
      </w:tr>
      <w:tr>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yᵢⱼ</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第 i 款样本的第 j 维连续感官指标</w:t>
            </w:r>
          </w:p>
        </w:tc>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zᵢⱼ</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标准化后的化学测量</w:t>
            </w:r>
          </w:p>
        </w:tc>
      </w:tr>
      <w:tr>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fⱼ</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第 j 维感官指标的回归函数</w:t>
            </w:r>
          </w:p>
        </w:tc>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ŷᵢⱼ</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连续感官指标预测值</w:t>
            </w:r>
          </w:p>
        </w:tc>
      </w:tr>
      <w:tr>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bₖⱼ</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第 j 维感官指标的第 k 条分位边界</w:t>
            </w:r>
          </w:p>
        </w:tc>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ℓᵢⱼ</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0—6相对等级</w:t>
            </w:r>
          </w:p>
        </w:tc>
      </w:tr>
      <w:tr>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δ</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特征遮掩比例</w:t>
            </w:r>
          </w:p>
        </w:tc>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μⱼ、σⱼ</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第 j 项指标的均值与标准差</w:t>
            </w:r>
          </w:p>
        </w:tc>
      </w:tr>
      <w:tr>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Rⱼ²</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第 j 维感官指标的决定系数</w:t>
            </w:r>
          </w:p>
        </w:tc>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6"/>
              </w:rPr>
              <w:t>ρⱼ</w:t>
            </w:r>
          </w:p>
        </w:tc>
        <w:tc>
          <w:tcPr>
            <w:tcW w:type="dxa" w:w="3061"/>
            <w:vAlign w:val="center"/>
            <w:tcBorders>
              <w:top w:val="nil"/>
              <w:bottom w:val="nil"/>
              <w:left w:val="nil"/>
              <w:right w:val="nil"/>
            </w:tcBorders>
          </w:tcPr>
          <w:p>
            <w:pPr>
              <w:spacing w:after="20"/>
              <w:jc w:val="left"/>
            </w:pPr>
            <w:r/>
            <w:r>
              <w:rPr>
                <w:rFonts w:ascii="Times New Roman" w:hAnsi="Times New Roman" w:eastAsia="宋体"/>
                <w:b w:val="0"/>
                <w:sz w:val="16"/>
              </w:rPr>
              <w:t>第 j 维的斯皮尔曼秩相关</w:t>
            </w:r>
          </w:p>
        </w:tc>
      </w:tr>
      <w:tr>
        <w:tc>
          <w:tcPr>
            <w:tcW w:type="dxa" w:w="1247"/>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κ_w</w:t>
            </w:r>
          </w:p>
        </w:tc>
        <w:tc>
          <w:tcPr>
            <w:tcW w:type="dxa" w:w="3061"/>
            <w:vAlign w:val="center"/>
            <w:tcBorders>
              <w:top w:val="nil"/>
              <w:bottom w:val="single" w:sz="12" w:color="000000"/>
              <w:left w:val="nil"/>
              <w:right w:val="nil"/>
            </w:tcBorders>
          </w:tcPr>
          <w:p>
            <w:pPr>
              <w:spacing w:after="20"/>
              <w:jc w:val="left"/>
            </w:pPr>
            <w:r/>
            <w:r>
              <w:rPr>
                <w:rFonts w:ascii="Times New Roman" w:hAnsi="Times New Roman" w:eastAsia="宋体"/>
                <w:b w:val="0"/>
                <w:sz w:val="16"/>
              </w:rPr>
              <w:t>二次加权Kappa系数</w:t>
            </w:r>
          </w:p>
        </w:tc>
        <w:tc>
          <w:tcPr>
            <w:tcW w:type="dxa" w:w="1247"/>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T、E</w:t>
            </w:r>
          </w:p>
        </w:tc>
        <w:tc>
          <w:tcPr>
            <w:tcW w:type="dxa" w:w="3061"/>
            <w:vAlign w:val="center"/>
            <w:tcBorders>
              <w:top w:val="nil"/>
              <w:bottom w:val="single" w:sz="12" w:color="000000"/>
              <w:left w:val="nil"/>
              <w:right w:val="nil"/>
            </w:tcBorders>
          </w:tcPr>
          <w:p>
            <w:pPr>
              <w:spacing w:after="20"/>
              <w:jc w:val="left"/>
            </w:pPr>
            <w:r/>
            <w:r>
              <w:rPr>
                <w:rFonts w:ascii="Times New Roman" w:hAnsi="Times New Roman" w:eastAsia="宋体"/>
                <w:b w:val="0"/>
                <w:sz w:val="16"/>
              </w:rPr>
              <w:t>训练集与测试集样本集合</w:t>
            </w:r>
          </w:p>
        </w:tc>
      </w:tr>
    </w:tbl>
    <w:p>
      <w:pPr>
        <w:spacing w:before="0" w:after="0" w:line="240" w:lineRule="auto"/>
      </w:pPr>
      <w:r>
        <w:rPr>
          <w:sz w:val="12"/>
        </w:rPr>
        <w:t xml:space="preserve"> </w:t>
      </w:r>
    </w:p>
    <w:p>
      <w:pPr>
        <w:keepNext/>
        <w:spacing w:before="200" w:after="120"/>
      </w:pPr>
      <w:r>
        <w:rPr>
          <w:rFonts w:ascii="Times New Roman" w:hAnsi="Times New Roman" w:eastAsia="黑体"/>
          <w:b/>
          <w:sz w:val="26"/>
        </w:rPr>
        <w:t>5.5  模型建立</w:t>
      </w:r>
    </w:p>
    <w:p>
      <w:pPr>
        <w:keepNext/>
        <w:spacing w:before="140" w:after="80"/>
      </w:pPr>
      <w:r>
        <w:rPr>
          <w:rFonts w:ascii="Times New Roman" w:hAnsi="Times New Roman" w:eastAsia="黑体"/>
          <w:b/>
          <w:sz w:val="22"/>
        </w:rPr>
        <w:t>5.5.1  连续感官指标回归模型</w:t>
      </w:r>
    </w:p>
    <w:p>
      <w:pPr>
        <w:keepNext/>
        <w:spacing w:line="312" w:lineRule="auto" w:after="60"/>
        <w:ind w:firstLine="420"/>
      </w:pPr>
      <w:r>
        <w:rPr>
          <w:rFonts w:ascii="Times New Roman" w:hAnsi="Times New Roman" w:eastAsia="宋体"/>
          <w:b w:val="0"/>
          <w:sz w:val="21"/>
        </w:rPr>
        <w:t>对第 j 个感官维度建立化合物测量到连续感官指标的映射：</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sSub>
                <m:e>
                  <m:limUpp>
                    <m:e>
                      <m:r>
                        <m:t>y</m:t>
                      </m:r>
                    </m:e>
                    <m:lim>
                      <m:r>
                        <m:t>^</m:t>
                      </m:r>
                    </m:lim>
                  </m:limUpp>
                </m:e>
                <m:sub>
                  <m:r>
                    <m:t>ij</m:t>
                  </m:r>
                </m:sub>
              </m:sSub>
              <m:r>
                <m:t>=</m:t>
              </m:r>
              <m:sSub>
                <m:e>
                  <m:r>
                    <m:t>f</m:t>
                  </m:r>
                </m:e>
                <m:sub>
                  <m:r>
                    <m:t>j</m:t>
                  </m:r>
                </m:sub>
              </m:sSub>
              <m:r>
                <m:t>(</m:t>
              </m:r>
              <m:sSub>
                <m:e>
                  <m:r>
                    <m:rPr>
                      <m:sty m:val="bi"/>
                    </m:rPr>
                    <m:t>x</m:t>
                  </m:r>
                </m:e>
                <m:sub>
                  <m:r>
                    <m:t>i</m:t>
                  </m:r>
                </m:sub>
              </m:sSub>
              <m:r>
                <m:t>;</m:t>
              </m:r>
              <m:sSub>
                <m:e>
                  <m:r>
                    <m:rPr>
                      <m:sty m:val="bi"/>
                    </m:rPr>
                    <m:t>θ</m:t>
                  </m:r>
                </m:e>
                <m:sub>
                  <m:r>
                    <m:t>j</m:t>
                  </m:r>
                </m:sub>
              </m:sSub>
              <m:r>
                <m:t>),</m:t>
              </m:r>
              <m:r>
                <m:t>i=1,…,n,</m:t>
              </m:r>
              <m:r>
                <m:t>j=1,…,q.</m:t>
              </m:r>
            </m:oMath>
          </w:p>
        </w:tc>
        <w:tc>
          <w:tcPr>
            <w:tcW w:type="dxa" w:w="964"/>
          </w:tcPr>
          <w:p>
            <w:pPr>
              <w:jc w:val="right"/>
            </w:pPr>
            <w:r>
              <w:rPr>
                <w:rFonts w:ascii="Times New Roman" w:hAnsi="Times New Roman" w:eastAsia="宋体"/>
                <w:b w:val="0"/>
                <w:sz w:val="18"/>
              </w:rPr>
              <w:t>（4）</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候选模型覆盖线性正则化、潜变量投影和树集成三类。岭回归通过惩罚回归系数控制高维小样本下的波动，其目标函数为</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limUpp>
                <m:e>
                  <m:r>
                    <m:rPr>
                      <m:sty m:val="bi"/>
                    </m:rPr>
                    <m:t>W</m:t>
                  </m:r>
                </m:e>
                <m:lim>
                  <m:r>
                    <m:t>^</m:t>
                  </m:r>
                </m:lim>
              </m:limUpp>
              <m:r>
                <m:t>=</m:t>
              </m:r>
              <m:limLow>
                <m:e>
                  <m:r>
                    <m:rPr>
                      <m:sty m:val="p"/>
                    </m:rPr>
                    <m:t>arg</m:t>
                  </m:r>
                  <m:r>
                    <m:rPr>
                      <m:sty m:val="p"/>
                    </m:rPr>
                    <m:t>min</m:t>
                  </m:r>
                </m:e>
                <m:lim>
                  <m:r>
                    <m:rPr>
                      <m:sty m:val="bi"/>
                    </m:rPr>
                    <m:t>W</m:t>
                  </m:r>
                </m:lim>
              </m:limLow>
              <m:r>
                <m:rPr>
                  <m:sty m:val="p"/>
                </m:rPr>
                <m:t> </m:t>
              </m:r>
              <m:sSubSup>
                <m:e>
                  <m:d>
                    <m:dPr>
                      <m:begChr m:val="‖"/>
                      <m:sepChr m:val="−"/>
                      <m:endChr m:val="‖"/>
                    </m:dPr>
                    <m:e>
                      <m:r>
                        <m:rPr>
                          <m:sty m:val="bi"/>
                        </m:rPr>
                        <m:t>Y</m:t>
                      </m:r>
                    </m:e>
                    <m:e>
                      <m:r>
                        <m:rPr>
                          <m:sty m:val="bi"/>
                        </m:rPr>
                        <m:t>X</m:t>
                      </m:r>
                      <m:r>
                        <m:rPr>
                          <m:sty m:val="bi"/>
                        </m:rPr>
                        <m:t>W</m:t>
                      </m:r>
                    </m:e>
                  </m:d>
                </m:e>
                <m:sub>
                  <m:r>
                    <m:t>F</m:t>
                  </m:r>
                </m:sub>
                <m:sup>
                  <m:r>
                    <m:t>2</m:t>
                  </m:r>
                </m:sup>
              </m:sSubSup>
              <m:r>
                <m:t>+α</m:t>
              </m:r>
              <m:sSubSup>
                <m:e>
                  <m:d>
                    <m:dPr>
                      <m:begChr m:val="‖"/>
                      <m:sepChr m:val=""/>
                      <m:endChr m:val="‖"/>
                    </m:dPr>
                    <m:e>
                      <m:r>
                        <m:rPr>
                          <m:sty m:val="bi"/>
                        </m:rPr>
                        <m:t>W</m:t>
                      </m:r>
                    </m:e>
                  </m:d>
                </m:e>
                <m:sub>
                  <m:r>
                    <m:t>F</m:t>
                  </m:r>
                </m:sub>
                <m:sup>
                  <m:r>
                    <m:t>2</m:t>
                  </m:r>
                </m:sup>
              </m:sSubSup>
              <m:r>
                <m:t>,</m:t>
              </m:r>
            </m:oMath>
          </w:p>
        </w:tc>
        <w:tc>
          <w:tcPr>
            <w:tcW w:type="dxa" w:w="964"/>
          </w:tcPr>
          <w:p>
            <w:pPr>
              <w:jc w:val="right"/>
            </w:pPr>
            <w:r>
              <w:rPr>
                <w:rFonts w:ascii="Times New Roman" w:hAnsi="Times New Roman" w:eastAsia="宋体"/>
                <w:b w:val="0"/>
                <w:sz w:val="18"/>
              </w:rPr>
              <w:t>（5）</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其中，α 为正则化系数。闭式解中的输入与目标均按训练集均值中心化，预测时加回目标变量的训练集均值；代码通过Ridge的默认截距处理实现。岭回归在样本数小于特征数时仍可稳定求解，其权重矩阵为：</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limUpp>
                <m:e>
                  <m:r>
                    <m:rPr>
                      <m:sty m:val="bi"/>
                    </m:rPr>
                    <m:t>W</m:t>
                  </m:r>
                </m:e>
                <m:lim>
                  <m:r>
                    <m:t>^</m:t>
                  </m:r>
                </m:lim>
              </m:limUpp>
              <m:r>
                <m:t>=(</m:t>
              </m:r>
              <m:sSup>
                <m:e>
                  <m:r>
                    <m:rPr>
                      <m:sty m:val="bi"/>
                    </m:rPr>
                    <m:t>X</m:t>
                  </m:r>
                </m:e>
                <m:sup>
                  <m:r>
                    <m:t>⊤</m:t>
                  </m:r>
                </m:sup>
              </m:sSup>
              <m:r>
                <m:rPr>
                  <m:sty m:val="bi"/>
                </m:rPr>
                <m:t>X</m:t>
              </m:r>
              <m:r>
                <m:t>+α</m:t>
              </m:r>
              <m:r>
                <m:rPr>
                  <m:sty m:val="bi"/>
                </m:rPr>
                <m:t>I</m:t>
              </m:r>
              <m:sSup>
                <m:e>
                  <m:r>
                    <m:t>)</m:t>
                  </m:r>
                </m:e>
                <m:sup>
                  <m:r>
                    <m:t>−1</m:t>
                  </m:r>
                </m:sup>
              </m:sSup>
              <m:sSup>
                <m:e>
                  <m:r>
                    <m:rPr>
                      <m:sty m:val="bi"/>
                    </m:rPr>
                    <m:t>X</m:t>
                  </m:r>
                </m:e>
                <m:sup>
                  <m:r>
                    <m:t>⊤</m:t>
                  </m:r>
                </m:sup>
              </m:sSup>
              <m:r>
                <m:rPr>
                  <m:sty m:val="bi"/>
                </m:rPr>
                <m:t>Y</m:t>
              </m:r>
              <m:r>
                <m:t>.</m:t>
              </m:r>
            </m:oMath>
          </w:p>
        </w:tc>
        <w:tc>
          <w:tcPr>
            <w:tcW w:type="dxa" w:w="964"/>
          </w:tcPr>
          <w:p>
            <w:pPr>
              <w:jc w:val="right"/>
            </w:pPr>
            <w:r>
              <w:rPr>
                <w:rFonts w:ascii="Times New Roman" w:hAnsi="Times New Roman" w:eastAsia="宋体"/>
                <w:b w:val="0"/>
                <w:sz w:val="18"/>
              </w:rPr>
              <w:t>（6）</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α 越大则系数越向零收缩，可缓解化学指标共线性导致的方差膨胀；本文在训练集上以五折交叉验证决定系数选取 α。偏最小二乘回归将输入与输出同时投影到少量潜在成分，在保留化学测量主要变异的同时增强其与感官指标的协方差：</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vAlign w:val="center"/>
          </w:tcPr>
          <w:p>
            <w:pPr>
              <w:spacing w:before="0" w:after="0" w:line="240" w:lineRule="auto"/>
              <w:jc w:val="center"/>
            </w:pPr>
            <m:oMath>
              <m:r>
                <m:rPr>
                  <m:sty m:val="bi"/>
                </m:rPr>
                <m:t>X</m:t>
              </m:r>
              <m:r>
                <m:t>=</m:t>
              </m:r>
              <m:r>
                <m:rPr>
                  <m:sty m:val="bi"/>
                </m:rPr>
                <m:t>T</m:t>
              </m:r>
              <m:sSup>
                <m:e>
                  <m:r>
                    <m:rPr>
                      <m:sty m:val="bi"/>
                    </m:rPr>
                    <m:t>P</m:t>
                  </m:r>
                </m:e>
                <m:sup>
                  <m:r>
                    <m:t>⊤</m:t>
                  </m:r>
                </m:sup>
              </m:sSup>
              <m:r>
                <m:t>+</m:t>
              </m:r>
              <m:r>
                <m:rPr>
                  <m:sty m:val="bi"/>
                </m:rPr>
                <m:t>E</m:t>
              </m:r>
              <m:r>
                <m:t>,</m:t>
              </m:r>
              <m:r>
                <m:rPr>
                  <m:sty m:val="bi"/>
                </m:rPr>
                <m:t>Y</m:t>
              </m:r>
              <m:r>
                <m:t>=</m:t>
              </m:r>
              <m:r>
                <m:rPr>
                  <m:sty m:val="bi"/>
                </m:rPr>
                <m:t>U</m:t>
              </m:r>
              <m:sSup>
                <m:e>
                  <m:r>
                    <m:rPr>
                      <m:sty m:val="bi"/>
                    </m:rPr>
                    <m:t>Q</m:t>
                  </m:r>
                </m:e>
                <m:sup>
                  <m:r>
                    <m:t>⊤</m:t>
                  </m:r>
                </m:sup>
              </m:sSup>
              <m:r>
                <m:t>+</m:t>
              </m:r>
              <m:r>
                <m:rPr>
                  <m:sty m:val="bi"/>
                </m:rPr>
                <m:t>F</m:t>
              </m:r>
              <m:r>
                <m:t>,</m:t>
              </m:r>
            </m:oMath>
          </w:p>
          <w:p>
            <w:pPr>
              <w:spacing w:before="0" w:after="0" w:line="240" w:lineRule="auto"/>
              <w:jc w:val="center"/>
            </w:pPr>
            <m:oMath>
              <m:r>
                <m:rPr>
                  <m:sty m:val="bi"/>
                </m:rPr>
                <m:t>U</m:t>
              </m:r>
              <m:r>
                <m:t>=</m:t>
              </m:r>
              <m:r>
                <m:rPr>
                  <m:sty m:val="bi"/>
                </m:rPr>
                <m:t>T</m:t>
              </m:r>
              <m:r>
                <m:rPr>
                  <m:sty m:val="bi"/>
                </m:rPr>
                <m:t>B</m:t>
              </m:r>
              <m:r>
                <m:t>,</m:t>
              </m:r>
              <m:limUpp>
                <m:e>
                  <m:r>
                    <m:rPr>
                      <m:sty m:val="bi"/>
                    </m:rPr>
                    <m:t>Y</m:t>
                  </m:r>
                </m:e>
                <m:lim>
                  <m:r>
                    <m:t>^</m:t>
                  </m:r>
                </m:lim>
              </m:limUpp>
              <m:r>
                <m:t>=</m:t>
              </m:r>
              <m:r>
                <m:rPr>
                  <m:sty m:val="bi"/>
                </m:rPr>
                <m:t>T</m:t>
              </m:r>
              <m:r>
                <m:rPr>
                  <m:sty m:val="bi"/>
                </m:rPr>
                <m:t>B</m:t>
              </m:r>
              <m:sSup>
                <m:e>
                  <m:r>
                    <m:rPr>
                      <m:sty m:val="bi"/>
                    </m:rPr>
                    <m:t>Q</m:t>
                  </m:r>
                </m:e>
                <m:sup>
                  <m:r>
                    <m:t>⊤</m:t>
                  </m:r>
                </m:sup>
              </m:sSup>
              <m:r>
                <m:t>.</m:t>
              </m:r>
            </m:oMath>
          </w:p>
        </w:tc>
        <w:tc>
          <w:tcPr>
            <w:tcW w:type="dxa" w:w="964"/>
            <w:vAlign w:val="center"/>
          </w:tcPr>
          <w:p>
            <w:pPr>
              <w:jc w:val="right"/>
            </w:pPr>
            <w:r>
              <w:rPr>
                <w:rFonts w:ascii="Times New Roman" w:hAnsi="Times New Roman" w:eastAsia="宋体"/>
                <w:b w:val="0"/>
                <w:sz w:val="18"/>
              </w:rPr>
              <w:t>（7）</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其中，T 为得分矩阵、P 与 Q 分别为输入与输出的载荷矩阵，B 为得分间的回归系数，输出通过载荷矩阵 Q 反投影到感官指标空间。第 a 个成分的输入权重 w_a 与输出权重 c_a 在单位范数约束下最大化两个投影之间的协方差平方：</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vAlign w:val="center"/>
          </w:tcPr>
          <w:p>
            <w:pPr>
              <w:spacing w:before="0" w:after="0" w:line="240" w:lineRule="auto"/>
              <w:jc w:val="center"/>
            </w:pPr>
            <m:oMath>
              <m:sSub>
                <m:e>
                  <m:r>
                    <m:t>max</m:t>
                  </m:r>
                </m:e>
                <m:sub>
                  <m:sSub>
                    <m:e>
                      <m:r>
                        <m:rPr>
                          <m:sty m:val="bi"/>
                        </m:rPr>
                        <m:t>w</m:t>
                      </m:r>
                    </m:e>
                    <m:sub>
                      <m:r>
                        <m:t>a</m:t>
                      </m:r>
                    </m:sub>
                  </m:sSub>
                  <m:r>
                    <m:t>,</m:t>
                  </m:r>
                  <m:r>
                    <m:rPr>
                      <m:sty m:val="p"/>
                    </m:rPr>
                    <m:t> </m:t>
                  </m:r>
                  <m:sSub>
                    <m:e>
                      <m:r>
                        <m:rPr>
                          <m:sty m:val="bi"/>
                        </m:rPr>
                        <m:t>c</m:t>
                      </m:r>
                    </m:e>
                    <m:sub>
                      <m:r>
                        <m:t>a</m:t>
                      </m:r>
                    </m:sub>
                  </m:sSub>
                </m:sub>
              </m:sSub>
              <m:r>
                <m:rPr>
                  <m:sty m:val="p"/>
                </m:rPr>
                <m:t> </m:t>
              </m:r>
              <m:sSup>
                <m:e>
                  <m:r>
                    <m:rPr>
                      <m:sty m:val="p"/>
                    </m:rPr>
                    <m:t>Cov</m:t>
                  </m:r>
                </m:e>
                <m:sup>
                  <m:r>
                    <m:t>2</m:t>
                  </m:r>
                </m:sup>
              </m:sSup>
              <m:d>
                <m:dPr>
                  <m:sepChr m:val=","/>
                </m:dPr>
                <m:e>
                  <m:r>
                    <m:rPr>
                      <m:sty m:val="bi"/>
                    </m:rPr>
                    <m:t>X</m:t>
                  </m:r>
                  <m:sSub>
                    <m:e>
                      <m:r>
                        <m:rPr>
                          <m:sty m:val="bi"/>
                        </m:rPr>
                        <m:t>w</m:t>
                      </m:r>
                    </m:e>
                    <m:sub>
                      <m:r>
                        <m:t>a</m:t>
                      </m:r>
                    </m:sub>
                  </m:sSub>
                </m:e>
                <m:e>
                  <m:r>
                    <m:rPr>
                      <m:sty m:val="p"/>
                    </m:rPr>
                    <m:t> </m:t>
                  </m:r>
                  <m:r>
                    <m:rPr>
                      <m:sty m:val="bi"/>
                    </m:rPr>
                    <m:t>Y</m:t>
                  </m:r>
                  <m:sSub>
                    <m:e>
                      <m:r>
                        <m:rPr>
                          <m:sty m:val="bi"/>
                        </m:rPr>
                        <m:t>c</m:t>
                      </m:r>
                    </m:e>
                    <m:sub>
                      <m:r>
                        <m:t>a</m:t>
                      </m:r>
                    </m:sub>
                  </m:sSub>
                </m:e>
              </m:d>
              <m:r>
                <m:t>,</m:t>
              </m:r>
            </m:oMath>
          </w:p>
          <w:p>
            <w:pPr>
              <w:spacing w:before="0" w:after="0" w:line="240" w:lineRule="auto"/>
              <w:jc w:val="center"/>
            </w:pPr>
            <m:oMath>
              <m:r>
                <m:rPr>
                  <m:sty m:val="p"/>
                </m:rPr>
                <m:t>s</m:t>
              </m:r>
              <m:r>
                <m:t>.</m:t>
              </m:r>
              <m:r>
                <m:rPr>
                  <m:sty m:val="p"/>
                </m:rPr>
                <m:t>t</m:t>
              </m:r>
              <m:r>
                <m:t>.</m:t>
              </m:r>
              <m:sSub>
                <m:e>
                  <m:d>
                    <m:dPr>
                      <m:begChr m:val="‖"/>
                      <m:sepChr m:val=""/>
                      <m:endChr m:val="‖"/>
                    </m:dPr>
                    <m:e>
                      <m:sSub>
                        <m:e>
                          <m:r>
                            <m:rPr>
                              <m:sty m:val="bi"/>
                            </m:rPr>
                            <m:t>w</m:t>
                          </m:r>
                        </m:e>
                        <m:sub>
                          <m:r>
                            <m:t>a</m:t>
                          </m:r>
                        </m:sub>
                      </m:sSub>
                    </m:e>
                  </m:d>
                </m:e>
                <m:sub>
                  <m:r>
                    <m:t>2</m:t>
                  </m:r>
                </m:sub>
              </m:sSub>
              <m:r>
                <m:t>=1,</m:t>
              </m:r>
              <m:sSub>
                <m:e>
                  <m:d>
                    <m:dPr>
                      <m:begChr m:val="‖"/>
                      <m:sepChr m:val=""/>
                      <m:endChr m:val="‖"/>
                    </m:dPr>
                    <m:e>
                      <m:sSub>
                        <m:e>
                          <m:r>
                            <m:rPr>
                              <m:sty m:val="bi"/>
                            </m:rPr>
                            <m:t>c</m:t>
                          </m:r>
                        </m:e>
                        <m:sub>
                          <m:r>
                            <m:t>a</m:t>
                          </m:r>
                        </m:sub>
                      </m:sSub>
                    </m:e>
                  </m:d>
                </m:e>
                <m:sub>
                  <m:r>
                    <m:t>2</m:t>
                  </m:r>
                </m:sub>
              </m:sSub>
              <m:r>
                <m:t>=1.</m:t>
              </m:r>
            </m:oMath>
          </w:p>
        </w:tc>
        <w:tc>
          <w:tcPr>
            <w:tcW w:type="dxa" w:w="964"/>
            <w:vAlign w:val="center"/>
          </w:tcPr>
          <w:p>
            <w:pPr>
              <w:jc w:val="right"/>
            </w:pPr>
            <w:r>
              <w:rPr>
                <w:rFonts w:ascii="Times New Roman" w:hAnsi="Times New Roman" w:eastAsia="宋体"/>
                <w:b w:val="0"/>
                <w:sz w:val="18"/>
              </w:rPr>
              <w:t>（8）</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成分数控制信息压缩程度：过少会丢失化学信息，过多会引入噪声，本文在2至30之间网格选取。随机森林对自助重采样样本分别训练回归树，并在节点分裂时随机选取部分特征，最终取各树预测均值：</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sSubSup>
                <m:e>
                  <m:limUpp>
                    <m:e>
                      <m:r>
                        <m:t>y</m:t>
                      </m:r>
                    </m:e>
                    <m:lim>
                      <m:r>
                        <m:t>^</m:t>
                      </m:r>
                    </m:lim>
                  </m:limUpp>
                </m:e>
                <m:sub>
                  <m:r>
                    <m:t>ij</m:t>
                  </m:r>
                </m:sub>
                <m:sup>
                  <m:r>
                    <m:rPr>
                      <m:sty m:val="p"/>
                    </m:rPr>
                    <m:t>RF</m:t>
                  </m:r>
                </m:sup>
              </m:sSubSup>
              <m:r>
                <m:t>=</m:t>
              </m:r>
              <m:f>
                <m:fPr>
                  <m:type m:val="bar"/>
                </m:fPr>
                <m:num>
                  <m:r>
                    <m:t>1</m:t>
                  </m:r>
                </m:num>
                <m:den>
                  <m:r>
                    <m:t>B</m:t>
                  </m:r>
                </m:den>
              </m:f>
              <m:nary>
                <m:naryPr>
                  <m:chr m:val="∑"/>
                  <m:limLoc m:val="subSup"/>
                  <m:grow m:val="1"/>
                  <m:subHide m:val="off"/>
                  <m:supHide m:val="off"/>
                </m:naryPr>
                <m:sub>
                  <m:r>
                    <m:t>b=1</m:t>
                  </m:r>
                </m:sub>
                <m:sup>
                  <m:r>
                    <m:t>B</m:t>
                  </m:r>
                </m:sup>
                <m:e>
                  <m:sSub>
                    <m:e>
                      <m:r>
                        <m:t>h</m:t>
                      </m:r>
                    </m:e>
                    <m:sub>
                      <m:r>
                        <m:t>bj</m:t>
                      </m:r>
                    </m:sub>
                  </m:sSub>
                </m:e>
              </m:nary>
              <m:r>
                <m:t>(</m:t>
              </m:r>
              <m:sSub>
                <m:e>
                  <m:r>
                    <m:rPr>
                      <m:sty m:val="bi"/>
                    </m:rPr>
                    <m:t>x</m:t>
                  </m:r>
                </m:e>
                <m:sub>
                  <m:r>
                    <m:t>i</m:t>
                  </m:r>
                </m:sub>
              </m:sSub>
              <m:r>
                <m:t>),</m:t>
              </m:r>
            </m:oMath>
          </w:p>
        </w:tc>
        <w:tc>
          <w:tcPr>
            <w:tcW w:type="dxa" w:w="964"/>
          </w:tcPr>
          <w:p>
            <w:pPr>
              <w:jc w:val="right"/>
            </w:pPr>
            <w:r>
              <w:rPr>
                <w:rFonts w:ascii="Times New Roman" w:hAnsi="Times New Roman" w:eastAsia="宋体"/>
                <w:b w:val="0"/>
                <w:sz w:val="18"/>
              </w:rPr>
              <w:t>（9）</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其中，B 为树的数量，h_bj 表示第 b 棵树对第 j 维感官指标的预测。每棵回归树以平方误差为分裂准则，叶节点预测取该节点训练样本的均值，分裂时约30%特征被随机选用，并对叶节点最小样本数加以限制，以降低高维小样本下的方差：</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sSubSup>
                <m:e>
                  <m:r>
                    <m:t>L</m:t>
                  </m:r>
                </m:e>
                <m:sub>
                  <m:r>
                    <m:t>j</m:t>
                  </m:r>
                </m:sub>
                <m:sup>
                  <m:r>
                    <m:rPr>
                      <m:sty m:val="p"/>
                    </m:rPr>
                    <m:t>tree</m:t>
                  </m:r>
                </m:sup>
              </m:sSubSup>
              <m:r>
                <m:t>(𝒮)=</m:t>
              </m:r>
              <m:f>
                <m:fPr>
                  <m:type m:val="bar"/>
                </m:fPr>
                <m:num>
                  <m:r>
                    <m:t>1</m:t>
                  </m:r>
                </m:num>
                <m:den>
                  <m:d>
                    <m:dPr>
                      <m:begChr m:val="|"/>
                      <m:sepChr m:val=""/>
                      <m:endChr m:val="|"/>
                    </m:dPr>
                    <m:e>
                      <m:r>
                        <m:t>𝒮</m:t>
                      </m:r>
                    </m:e>
                  </m:d>
                </m:den>
              </m:f>
              <m:nary>
                <m:naryPr>
                  <m:chr m:val="∑"/>
                  <m:limLoc m:val="subSup"/>
                  <m:grow m:val="1"/>
                  <m:subHide m:val="off"/>
                  <m:supHide m:val="on"/>
                </m:naryPr>
                <m:sub>
                  <m:r>
                    <m:t>i∈𝒮</m:t>
                  </m:r>
                </m:sub>
                <m:sup/>
                <m:e>
                  <m:r>
                    <m:t>(</m:t>
                  </m:r>
                </m:e>
              </m:nary>
              <m:sSub>
                <m:e>
                  <m:r>
                    <m:t>y</m:t>
                  </m:r>
                </m:e>
                <m:sub>
                  <m:r>
                    <m:t>ij</m:t>
                  </m:r>
                </m:sub>
              </m:sSub>
              <m:r>
                <m:t>−</m:t>
              </m:r>
              <m:sSub>
                <m:e>
                  <m:bar>
                    <m:barPr>
                      <m:pos m:val="top"/>
                    </m:barPr>
                    <m:e>
                      <m:r>
                        <m:t>y</m:t>
                      </m:r>
                    </m:e>
                  </m:bar>
                </m:e>
                <m:sub>
                  <m:r>
                    <m:t>𝒮,j</m:t>
                  </m:r>
                </m:sub>
              </m:sSub>
              <m:sSup>
                <m:e>
                  <m:r>
                    <m:t>)</m:t>
                  </m:r>
                </m:e>
                <m:sup>
                  <m:r>
                    <m:t>2</m:t>
                  </m:r>
                </m:sup>
              </m:sSup>
              <m:r>
                <m:t>.</m:t>
              </m:r>
            </m:oMath>
          </w:p>
        </w:tc>
        <w:tc>
          <w:tcPr>
            <w:tcW w:type="dxa" w:w="964"/>
          </w:tcPr>
          <w:p>
            <w:pPr>
              <w:jc w:val="right"/>
            </w:pPr>
            <w:r>
              <w:rPr>
                <w:rFonts w:ascii="Times New Roman" w:hAnsi="Times New Roman" w:eastAsia="宋体"/>
                <w:b w:val="0"/>
                <w:sz w:val="18"/>
              </w:rPr>
              <w:t>（10）</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梯度提升模型采用加法形式逐步拟合当前损失的负梯度：</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vAlign w:val="center"/>
          </w:tcPr>
          <w:p>
            <w:pPr>
              <w:spacing w:before="0" w:after="0" w:line="240" w:lineRule="auto"/>
              <w:jc w:val="center"/>
            </w:pPr>
            <m:oMath>
              <m:sSub>
                <m:e>
                  <m:r>
                    <m:t>F</m:t>
                  </m:r>
                </m:e>
                <m:sub>
                  <m:r>
                    <m:t>mj</m:t>
                  </m:r>
                </m:sub>
              </m:sSub>
              <m:r>
                <m:t>(</m:t>
              </m:r>
              <m:r>
                <m:rPr>
                  <m:sty m:val="bi"/>
                </m:rPr>
                <m:t>x</m:t>
              </m:r>
              <m:r>
                <m:t>)=</m:t>
              </m:r>
              <m:sSub>
                <m:e>
                  <m:r>
                    <m:t>F</m:t>
                  </m:r>
                </m:e>
                <m:sub>
                  <m:r>
                    <m:t>m−1,j</m:t>
                  </m:r>
                </m:sub>
              </m:sSub>
              <m:r>
                <m:t>(</m:t>
              </m:r>
              <m:r>
                <m:rPr>
                  <m:sty m:val="bi"/>
                </m:rPr>
                <m:t>x</m:t>
              </m:r>
              <m:r>
                <m:t>)+ν</m:t>
              </m:r>
              <m:sSub>
                <m:e>
                  <m:r>
                    <m:t>h</m:t>
                  </m:r>
                </m:e>
                <m:sub>
                  <m:r>
                    <m:t>mj</m:t>
                  </m:r>
                </m:sub>
              </m:sSub>
              <m:r>
                <m:t>(</m:t>
              </m:r>
              <m:r>
                <m:rPr>
                  <m:sty m:val="bi"/>
                </m:rPr>
                <m:t>x</m:t>
              </m:r>
              <m:r>
                <m:t>),</m:t>
              </m:r>
            </m:oMath>
          </w:p>
          <w:p>
            <w:pPr>
              <w:spacing w:before="0" w:after="0" w:line="240" w:lineRule="auto"/>
              <w:jc w:val="center"/>
            </w:pPr>
            <m:oMath>
              <m:sSub>
                <m:e>
                  <m:r>
                    <m:t>h</m:t>
                  </m:r>
                </m:e>
                <m:sub>
                  <m:r>
                    <m:t>mj</m:t>
                  </m:r>
                </m:sub>
              </m:sSub>
              <m:r>
                <m:t>≈−</m:t>
              </m:r>
              <m:sSub>
                <m:e>
                  <m:r>
                    <m:t/>
                  </m:r>
                  <m:f>
                    <m:fPr>
                      <m:type m:val="bar"/>
                    </m:fPr>
                    <m:num>
                      <m:r>
                        <m:t>∂</m:t>
                      </m:r>
                      <m:sSub>
                        <m:e>
                          <m:r>
                            <m:t>L</m:t>
                          </m:r>
                        </m:e>
                        <m:sub>
                          <m:r>
                            <m:t>j</m:t>
                          </m:r>
                        </m:sub>
                      </m:sSub>
                    </m:num>
                    <m:den>
                      <m:r>
                        <m:t>∂</m:t>
                      </m:r>
                      <m:sSub>
                        <m:e>
                          <m:r>
                            <m:t>F</m:t>
                          </m:r>
                        </m:e>
                        <m:sub>
                          <m:r>
                            <m:t>j</m:t>
                          </m:r>
                        </m:sub>
                      </m:sSub>
                    </m:den>
                  </m:f>
                  <m:r>
                    <m:t>|</m:t>
                  </m:r>
                </m:e>
                <m:sub>
                  <m:sSub>
                    <m:e>
                      <m:r>
                        <m:t>F</m:t>
                      </m:r>
                    </m:e>
                    <m:sub>
                      <m:r>
                        <m:t>j</m:t>
                      </m:r>
                    </m:sub>
                  </m:sSub>
                  <m:r>
                    <m:t>=</m:t>
                  </m:r>
                  <m:sSub>
                    <m:e>
                      <m:r>
                        <m:t>F</m:t>
                      </m:r>
                    </m:e>
                    <m:sub>
                      <m:r>
                        <m:t>m−1,j</m:t>
                      </m:r>
                    </m:sub>
                  </m:sSub>
                </m:sub>
              </m:sSub>
              <m:r>
                <m:t>.</m:t>
              </m:r>
            </m:oMath>
          </w:p>
        </w:tc>
        <w:tc>
          <w:tcPr>
            <w:tcW w:type="dxa" w:w="964"/>
            <w:vAlign w:val="center"/>
          </w:tcPr>
          <w:p>
            <w:pPr>
              <w:jc w:val="right"/>
            </w:pPr>
            <w:r>
              <w:rPr>
                <w:rFonts w:ascii="Times New Roman" w:hAnsi="Times New Roman" w:eastAsia="宋体"/>
                <w:b w:val="0"/>
                <w:sz w:val="18"/>
              </w:rPr>
              <w:t>（11）</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本文采用平方误差损失，其负梯度即当前残差，学习率 ν 控制每步步长，子采样率0.8为基学习器引入随机性：</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sSub>
                <m:e>
                  <m:r>
                    <m:t>L</m:t>
                  </m:r>
                </m:e>
                <m:sub>
                  <m:r>
                    <m:t>j</m:t>
                  </m:r>
                </m:sub>
              </m:sSub>
              <m:r>
                <m:t>=</m:t>
              </m:r>
              <m:f>
                <m:fPr>
                  <m:type m:val="bar"/>
                </m:fPr>
                <m:num>
                  <m:r>
                    <m:t>1</m:t>
                  </m:r>
                </m:num>
                <m:den>
                  <m:r>
                    <m:t>2</m:t>
                  </m:r>
                </m:den>
              </m:f>
              <m:nary>
                <m:naryPr>
                  <m:chr m:val="∑"/>
                  <m:limLoc m:val="subSup"/>
                  <m:grow m:val="1"/>
                  <m:subHide m:val="off"/>
                  <m:supHide m:val="on"/>
                </m:naryPr>
                <m:sub>
                  <m:r>
                    <m:t>i∈𝒯</m:t>
                  </m:r>
                </m:sub>
                <m:sup/>
                <m:e>
                  <m:r>
                    <m:t>(</m:t>
                  </m:r>
                </m:e>
              </m:nary>
              <m:sSub>
                <m:e>
                  <m:r>
                    <m:t>y</m:t>
                  </m:r>
                </m:e>
                <m:sub>
                  <m:r>
                    <m:t>ij</m:t>
                  </m:r>
                </m:sub>
              </m:sSub>
              <m:r>
                <m:t>−</m:t>
              </m:r>
              <m:sSub>
                <m:e>
                  <m:r>
                    <m:t>F</m:t>
                  </m:r>
                </m:e>
                <m:sub>
                  <m:r>
                    <m:t>j</m:t>
                  </m:r>
                </m:sub>
              </m:sSub>
              <m:r>
                <m:t>(</m:t>
              </m:r>
              <m:sSub>
                <m:e>
                  <m:r>
                    <m:rPr>
                      <m:sty m:val="bi"/>
                    </m:rPr>
                    <m:t>x</m:t>
                  </m:r>
                </m:e>
                <m:sub>
                  <m:r>
                    <m:t>i</m:t>
                  </m:r>
                </m:sub>
              </m:sSub>
              <m:r>
                <m:t>)</m:t>
              </m:r>
              <m:sSup>
                <m:e>
                  <m:r>
                    <m:t>)</m:t>
                  </m:r>
                </m:e>
                <m:sup>
                  <m:r>
                    <m:t>2</m:t>
                  </m:r>
                </m:sup>
              </m:sSup>
              <m:r>
                <m:t>.</m:t>
              </m:r>
            </m:oMath>
          </w:p>
        </w:tc>
        <w:tc>
          <w:tcPr>
            <w:tcW w:type="dxa" w:w="964"/>
          </w:tcPr>
          <w:p>
            <w:pPr>
              <w:jc w:val="right"/>
            </w:pPr>
            <w:r>
              <w:rPr>
                <w:rFonts w:ascii="Times New Roman" w:hAnsi="Times New Roman" w:eastAsia="宋体"/>
                <w:b w:val="0"/>
                <w:sz w:val="18"/>
              </w:rPr>
              <w:t>（12）</w:t>
            </w:r>
          </w:p>
        </w:tc>
      </w:tr>
    </w:tbl>
    <w:p>
      <w:pPr>
        <w:spacing w:before="0" w:after="0" w:line="240" w:lineRule="auto"/>
      </w:pPr>
      <w:r>
        <w:rPr>
          <w:sz w:val="16"/>
        </w:rPr>
        <w:t xml:space="preserve"> </w:t>
      </w:r>
    </w:p>
    <w:p>
      <w:pPr>
        <w:spacing w:line="312" w:lineRule="auto" w:after="60"/>
        <w:ind w:firstLine="420"/>
      </w:pPr>
      <w:r>
        <w:rPr>
          <w:rFonts w:ascii="Times New Roman" w:hAnsi="Times New Roman" w:eastAsia="宋体"/>
          <w:b w:val="0"/>
          <w:sz w:val="21"/>
        </w:rPr>
        <w:t>直方图梯度提升回归进一步将连续特征离散为直方图以加速分裂点搜索，并对缺失值学习默认分支方向，因此可在不预先填补的情况下训练。为控制过拟合，本文对其加入L2惩罚并限制最大叶节点数。上述五类模型在同一训练集五折交叉验证下比较，以训练集交叉验证中50个感官维度的平均决定系数选型，测试集只用于最终评价，避免以模型先验偏好替代实证选型。</w:t>
      </w:r>
    </w:p>
    <w:p>
      <w:pPr>
        <w:keepNext/>
        <w:spacing w:before="140" w:after="80"/>
      </w:pPr>
      <w:r>
        <w:rPr>
          <w:rFonts w:ascii="Times New Roman" w:hAnsi="Times New Roman" w:eastAsia="黑体"/>
          <w:b/>
          <w:sz w:val="22"/>
        </w:rPr>
        <w:t>5.5.2  0—6相对等级标定模型</w:t>
      </w:r>
    </w:p>
    <w:p>
      <w:pPr>
        <w:keepNext/>
        <w:spacing w:line="312" w:lineRule="auto" w:after="60"/>
        <w:ind w:firstLine="420"/>
      </w:pPr>
      <w:r>
        <w:rPr>
          <w:rFonts w:ascii="Times New Roman" w:hAnsi="Times New Roman" w:eastAsia="宋体"/>
          <w:b w:val="0"/>
          <w:sz w:val="21"/>
        </w:rPr>
        <w:t>由于附件4不含原始人工等级，本文采用两条路线构造相对等级。路线一先将训练集连续感官指标的经验分位数作为边界，再把最优回归模型的连续预测映射到相应区间。第 j 维的第 k 条边界为</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sSub>
                <m:e>
                  <m:r>
                    <m:t>b</m:t>
                  </m:r>
                </m:e>
                <m:sub>
                  <m:r>
                    <m:t>kj</m:t>
                  </m:r>
                </m:sub>
              </m:sSub>
              <m:r>
                <m:t>=</m:t>
              </m:r>
              <m:sSub>
                <m:e>
                  <m:r>
                    <m:t>Q</m:t>
                  </m:r>
                </m:e>
                <m:sub>
                  <m:f>
                    <m:fPr>
                      <m:type m:val="lin"/>
                    </m:fPr>
                    <m:num>
                      <m:r>
                        <m:t>k</m:t>
                      </m:r>
                    </m:num>
                    <m:den>
                      <m:r>
                        <m:t>7</m:t>
                      </m:r>
                    </m:den>
                  </m:f>
                </m:sub>
              </m:sSub>
              <m:d>
                <m:dPr>
                  <m:sepChr m:val=""/>
                </m:dPr>
                <m:e>
                  <m:r>
                    <m:t>{</m:t>
                  </m:r>
                  <m:sSub>
                    <m:e>
                      <m:r>
                        <m:t>y</m:t>
                      </m:r>
                    </m:e>
                    <m:sub>
                      <m:r>
                        <m:t>ij</m:t>
                      </m:r>
                    </m:sub>
                  </m:sSub>
                  <m:r>
                    <m:t>:</m:t>
                  </m:r>
                  <m:r>
                    <m:t>i</m:t>
                  </m:r>
                  <m:r>
                    <m:t>∈</m:t>
                  </m:r>
                  <m:r>
                    <m:t>𝒯</m:t>
                  </m:r>
                  <m:r>
                    <m:t>}</m:t>
                  </m:r>
                </m:e>
              </m:d>
              <m:r>
                <m:t>,</m:t>
              </m:r>
              <m:r>
                <m:t>k=1,…,6.</m:t>
              </m:r>
            </m:oMath>
          </w:p>
        </w:tc>
        <w:tc>
          <w:tcPr>
            <w:tcW w:type="dxa" w:w="964"/>
          </w:tcPr>
          <w:p>
            <w:pPr>
              <w:jc w:val="right"/>
            </w:pPr>
            <w:r>
              <w:rPr>
                <w:rFonts w:ascii="Times New Roman" w:hAnsi="Times New Roman" w:eastAsia="宋体"/>
                <w:b w:val="0"/>
                <w:sz w:val="18"/>
              </w:rPr>
              <w:t>（13）</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对连续预测值 ŷᵢⱼ，相对等级定义为</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sSub>
                <m:e>
                  <m:limUpp>
                    <m:e>
                      <m:r>
                        <m:t>ℓ</m:t>
                      </m:r>
                    </m:e>
                    <m:lim>
                      <m:r>
                        <m:t>^</m:t>
                      </m:r>
                    </m:lim>
                  </m:limUpp>
                </m:e>
                <m:sub>
                  <m:r>
                    <m:t>ij</m:t>
                  </m:r>
                </m:sub>
              </m:sSub>
              <m:r>
                <m:t>=</m:t>
              </m:r>
              <m:nary>
                <m:naryPr>
                  <m:chr m:val="∑"/>
                  <m:limLoc m:val="subSup"/>
                  <m:grow m:val="1"/>
                  <m:subHide m:val="off"/>
                  <m:supHide m:val="off"/>
                </m:naryPr>
                <m:sub>
                  <m:r>
                    <m:t>k=1</m:t>
                  </m:r>
                </m:sub>
                <m:sup>
                  <m:r>
                    <m:t>6</m:t>
                  </m:r>
                </m:sup>
                <m:e>
                  <m:r>
                    <m:t>𝕀</m:t>
                  </m:r>
                </m:e>
              </m:nary>
              <m:d>
                <m:dPr>
                  <m:sepChr m:val="≥"/>
                </m:dPr>
                <m:e>
                  <m:sSub>
                    <m:e>
                      <m:limUpp>
                        <m:e>
                          <m:r>
                            <m:t>y</m:t>
                          </m:r>
                        </m:e>
                        <m:lim>
                          <m:r>
                            <m:t>^</m:t>
                          </m:r>
                        </m:lim>
                      </m:limUpp>
                    </m:e>
                    <m:sub>
                      <m:r>
                        <m:t>ij</m:t>
                      </m:r>
                    </m:sub>
                  </m:sSub>
                </m:e>
                <m:e>
                  <m:sSub>
                    <m:e>
                      <m:r>
                        <m:t>b</m:t>
                      </m:r>
                    </m:e>
                    <m:sub>
                      <m:r>
                        <m:t>kj</m:t>
                      </m:r>
                    </m:sub>
                  </m:sSub>
                </m:e>
              </m:d>
              <m:r>
                <m:t>,</m:t>
              </m:r>
              <m:sSub>
                <m:e>
                  <m:limUpp>
                    <m:e>
                      <m:r>
                        <m:t>ℓ</m:t>
                      </m:r>
                    </m:e>
                    <m:lim>
                      <m:r>
                        <m:t>^</m:t>
                      </m:r>
                    </m:lim>
                  </m:limUpp>
                </m:e>
                <m:sub>
                  <m:r>
                    <m:t>ij</m:t>
                  </m:r>
                </m:sub>
              </m:sSub>
              <m:r>
                <m:t>∈{0,1,…,6}.</m:t>
              </m:r>
            </m:oMath>
          </w:p>
        </w:tc>
        <w:tc>
          <w:tcPr>
            <w:tcW w:type="dxa" w:w="964"/>
          </w:tcPr>
          <w:p>
            <w:pPr>
              <w:jc w:val="right"/>
            </w:pPr>
            <w:r>
              <w:rPr>
                <w:rFonts w:ascii="Times New Roman" w:hAnsi="Times New Roman" w:eastAsia="宋体"/>
                <w:b w:val="0"/>
                <w:sz w:val="18"/>
              </w:rPr>
              <w:t>（14）</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该方法只利用训练集估计边界，并保持连续预测的排序关系。路线二先按同一边界构造训练集参考等级，再对各感官维度分别训练直接多分类模型，输出后验概率最大的等级：</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sSub>
                <m:e>
                  <m:limUpp>
                    <m:e>
                      <m:r>
                        <m:t>ℓ</m:t>
                      </m:r>
                    </m:e>
                    <m:lim>
                      <m:r>
                        <m:t>^</m:t>
                      </m:r>
                    </m:lim>
                  </m:limUpp>
                </m:e>
                <m:sub>
                  <m:r>
                    <m:t>ij</m:t>
                  </m:r>
                </m:sub>
              </m:sSub>
              <m:r>
                <m:t>=</m:t>
              </m:r>
              <m:limLow>
                <m:e>
                  <m:r>
                    <m:rPr>
                      <m:sty m:val="p"/>
                    </m:rPr>
                    <m:t>arg</m:t>
                  </m:r>
                  <m:r>
                    <m:rPr>
                      <m:sty m:val="p"/>
                    </m:rPr>
                    <m:t>max</m:t>
                  </m:r>
                </m:e>
                <m:lim>
                  <m:r>
                    <m:t>r∈{0,…,6}</m:t>
                  </m:r>
                </m:lim>
              </m:limLow>
              <m:r>
                <m:rPr>
                  <m:sty m:val="p"/>
                </m:rPr>
                <m:t> </m:t>
              </m:r>
              <m:sSub>
                <m:e>
                  <m:r>
                    <m:t>P</m:t>
                  </m:r>
                </m:e>
                <m:sub>
                  <m:r>
                    <m:t>j</m:t>
                  </m:r>
                </m:sub>
              </m:sSub>
              <m:d>
                <m:dPr>
                  <m:sepChr m:val=""/>
                </m:dPr>
                <m:e>
                  <m:r>
                    <m:t>ℓ</m:t>
                  </m:r>
                  <m:r>
                    <m:t>=</m:t>
                  </m:r>
                  <m:r>
                    <m:t>r</m:t>
                  </m:r>
                  <m:r>
                    <m:t>∣</m:t>
                  </m:r>
                  <m:sSub>
                    <m:e>
                      <m:r>
                        <m:rPr>
                          <m:sty m:val="bi"/>
                        </m:rPr>
                        <m:t>x</m:t>
                      </m:r>
                    </m:e>
                    <m:sub>
                      <m:r>
                        <m:t>i</m:t>
                      </m:r>
                    </m:sub>
                  </m:sSub>
                </m:e>
              </m:d>
              <m:r>
                <m:t>.</m:t>
              </m:r>
            </m:oMath>
          </w:p>
        </w:tc>
        <w:tc>
          <w:tcPr>
            <w:tcW w:type="dxa" w:w="964"/>
          </w:tcPr>
          <w:p>
            <w:pPr>
              <w:jc w:val="right"/>
            </w:pPr>
            <w:r>
              <w:rPr>
                <w:rFonts w:ascii="Times New Roman" w:hAnsi="Times New Roman" w:eastAsia="宋体"/>
                <w:b w:val="0"/>
                <w:sz w:val="18"/>
              </w:rPr>
              <w:t>（15）</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两条路线得到的等级均为样本群体内部的相对等级。本文以二次加权Kappa系数选择分级路线，而不以连续回归的决定系数替代分级质量评价。由于分位边界按升序排列，等级映射保持连续预测的顺序：预测值越大则等级越高，但相邻等级之间的距离不一定等距。在评价完成后，为充分利用已核验的全部样本，用250款样本重训最终模型，并在全部样本上重新估计分位边界，生成最终的相对等级表：</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sSubSup>
                <m:e>
                  <m:r>
                    <m:t>b</m:t>
                  </m:r>
                </m:e>
                <m:sub>
                  <m:r>
                    <m:t>kj</m:t>
                  </m:r>
                </m:sub>
                <m:sup>
                  <m:r>
                    <m:t>*</m:t>
                  </m:r>
                </m:sup>
              </m:sSubSup>
              <m:r>
                <m:t>=</m:t>
              </m:r>
              <m:sSub>
                <m:e>
                  <m:r>
                    <m:t>Q</m:t>
                  </m:r>
                </m:e>
                <m:sub>
                  <m:f>
                    <m:fPr>
                      <m:type m:val="lin"/>
                    </m:fPr>
                    <m:num>
                      <m:r>
                        <m:t>k</m:t>
                      </m:r>
                    </m:num>
                    <m:den>
                      <m:r>
                        <m:t>7</m:t>
                      </m:r>
                    </m:den>
                  </m:f>
                </m:sub>
              </m:sSub>
              <m:d>
                <m:dPr>
                  <m:sepChr m:val=""/>
                </m:dPr>
                <m:e>
                  <m:r>
                    <m:t>{</m:t>
                  </m:r>
                  <m:sSub>
                    <m:e>
                      <m:r>
                        <m:t>y</m:t>
                      </m:r>
                    </m:e>
                    <m:sub>
                      <m:r>
                        <m:t>ij</m:t>
                      </m:r>
                    </m:sub>
                  </m:sSub>
                  <m:r>
                    <m:t>:</m:t>
                  </m:r>
                  <m:r>
                    <m:t>i</m:t>
                  </m:r>
                  <m:r>
                    <m:t>=</m:t>
                  </m:r>
                  <m:r>
                    <m:t>1</m:t>
                  </m:r>
                  <m:r>
                    <m:t>,</m:t>
                  </m:r>
                  <m:r>
                    <m:t>…</m:t>
                  </m:r>
                  <m:r>
                    <m:t>,</m:t>
                  </m:r>
                  <m:r>
                    <m:t>n</m:t>
                  </m:r>
                  <m:r>
                    <m:t>}</m:t>
                  </m:r>
                </m:e>
              </m:d>
              <m:r>
                <m:t>,</m:t>
              </m:r>
              <m:r>
                <m:t>k=1,…,6.</m:t>
              </m:r>
            </m:oMath>
          </w:p>
        </w:tc>
        <w:tc>
          <w:tcPr>
            <w:tcW w:type="dxa" w:w="964"/>
          </w:tcPr>
          <w:p>
            <w:pPr>
              <w:jc w:val="right"/>
            </w:pPr>
            <w:r>
              <w:rPr>
                <w:rFonts w:ascii="Times New Roman" w:hAnsi="Times New Roman" w:eastAsia="宋体"/>
                <w:b w:val="0"/>
                <w:sz w:val="18"/>
              </w:rPr>
              <w:t>（16）</w:t>
            </w:r>
          </w:p>
        </w:tc>
      </w:tr>
    </w:tbl>
    <w:p>
      <w:pPr>
        <w:spacing w:before="0" w:after="0" w:line="240" w:lineRule="auto"/>
      </w:pPr>
      <w:r>
        <w:rPr>
          <w:sz w:val="16"/>
        </w:rPr>
        <w:t xml:space="preserve"> </w:t>
      </w:r>
    </w:p>
    <w:p>
      <w:pPr>
        <w:keepNext/>
        <w:spacing w:before="140" w:after="80"/>
      </w:pPr>
      <w:r>
        <w:rPr>
          <w:rFonts w:ascii="Times New Roman" w:hAnsi="Times New Roman" w:eastAsia="黑体"/>
          <w:b/>
          <w:sz w:val="22"/>
        </w:rPr>
        <w:t>5.5.3  数据缺失条件下的鲁棒性模型</w:t>
      </w:r>
    </w:p>
    <w:p>
      <w:pPr>
        <w:keepNext/>
        <w:spacing w:line="312" w:lineRule="auto" w:after="60"/>
        <w:ind w:firstLine="420"/>
      </w:pPr>
      <w:r>
        <w:rPr>
          <w:rFonts w:ascii="Times New Roman" w:hAnsi="Times New Roman" w:eastAsia="宋体"/>
          <w:b w:val="0"/>
          <w:sz w:val="21"/>
        </w:rPr>
        <w:t>设遮掩比例为 δ，对训练集与测试集的原始化学编码矩阵同步生成随机遮掩矩阵，遮掩变量 Mᵢⱼ 服从参数为 δ 的伯努利分布，感官标签保持完整。原有缺失值继续保留，δ=0 仅表示没有额外遮掩。两条方案使用完全相同的遮掩位置：</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sSubSup>
                <m:e>
                  <m:r>
                    <m:t>x</m:t>
                  </m:r>
                </m:e>
                <m:sub>
                  <m:r>
                    <m:t>ij</m:t>
                  </m:r>
                </m:sub>
                <m:sup>
                  <m:d>
                    <m:dPr>
                      <m:sepChr m:val=""/>
                    </m:dPr>
                    <m:e>
                      <m:r>
                        <m:t>δ</m:t>
                      </m:r>
                    </m:e>
                  </m:d>
                </m:sup>
              </m:sSubSup>
              <m:r>
                <m:t>=</m:t>
              </m:r>
              <m:d>
                <m:dPr>
                  <m:begChr m:val="{"/>
                  <m:sepChr m:val=""/>
                  <m:endChr m:val=""/>
                </m:dPr>
                <m:e>
                  <m:m>
                    <m:mPr>
                      <m:baseJc m:val="center"/>
                      <m:plcHide m:val="on"/>
                      <m:mcs>
                        <m:mc>
                          <m:mcPr>
                            <m:count m:val="2"/>
                            <m:mcJc m:val="center"/>
                          </m:mcPr>
                        </m:mc>
                      </m:mcs>
                    </m:mPr>
                    <m:mr>
                      <m:e>
                        <m:r>
                          <m:rPr>
                            <m:sty m:val="p"/>
                          </m:rPr>
                          <m:t>NA</m:t>
                        </m:r>
                        <m:r>
                          <m:t>,</m:t>
                        </m:r>
                      </m:e>
                      <m:e>
                        <m:sSub>
                          <m:e>
                            <m:r>
                              <m:t>M</m:t>
                            </m:r>
                          </m:e>
                          <m:sub>
                            <m:r>
                              <m:t>ij</m:t>
                            </m:r>
                          </m:sub>
                        </m:sSub>
                        <m:r>
                          <m:t>=1,</m:t>
                        </m:r>
                      </m:e>
                    </m:mr>
                    <m:mr>
                      <m:e>
                        <m:sSub>
                          <m:e>
                            <m:r>
                              <m:t>x</m:t>
                            </m:r>
                          </m:e>
                          <m:sub>
                            <m:r>
                              <m:t>ij</m:t>
                            </m:r>
                          </m:sub>
                        </m:sSub>
                        <m:r>
                          <m:t>,</m:t>
                        </m:r>
                      </m:e>
                      <m:e>
                        <m:sSub>
                          <m:e>
                            <m:r>
                              <m:t>M</m:t>
                            </m:r>
                          </m:e>
                          <m:sub>
                            <m:r>
                              <m:t>ij</m:t>
                            </m:r>
                          </m:sub>
                        </m:sSub>
                        <m:r>
                          <m:t>=0.</m:t>
                        </m:r>
                      </m:e>
                    </m:mr>
                  </m:m>
                </m:e>
              </m:d>
            </m:oMath>
          </w:p>
        </w:tc>
        <w:tc>
          <w:tcPr>
            <w:tcW w:type="dxa" w:w="964"/>
          </w:tcPr>
          <w:p>
            <w:pPr>
              <w:jc w:val="right"/>
            </w:pPr>
            <w:r>
              <w:rPr>
                <w:rFonts w:ascii="Times New Roman" w:hAnsi="Times New Roman" w:eastAsia="宋体"/>
                <w:b w:val="0"/>
                <w:sz w:val="18"/>
              </w:rPr>
              <w:t>（17）</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方案一以遮掩后训练集中该列的可观测值重新估计均值，凡遮掩后数值缺失的单元格（含新遮掩与原有缺失）均以该均值填补，其余保留遮掩后的原值，随后以遮掩后训练集的均值与标准差标准化，再重新训练梯度提升回归。记遮掩后训练集中第 j 列的可观测集合为 Oⱼ⁽δ⁾：</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vAlign w:val="center"/>
          </w:tcPr>
          <w:p>
            <w:pPr>
              <w:spacing w:before="0" w:after="0" w:line="240" w:lineRule="auto"/>
              <w:jc w:val="center"/>
            </w:pPr>
            <m:oMath>
              <m:sSub>
                <m:e>
                  <m:limUpp>
                    <m:e>
                      <m:r>
                        <m:t>x</m:t>
                      </m:r>
                    </m:e>
                    <m:lim>
                      <m:r>
                        <m:t>~</m:t>
                      </m:r>
                    </m:lim>
                  </m:limUpp>
                </m:e>
                <m:sub>
                  <m:r>
                    <m:t>ij</m:t>
                  </m:r>
                </m:sub>
              </m:sSub>
              <m:r>
                <m:t>=</m:t>
              </m:r>
              <m:d>
                <m:dPr>
                  <m:begChr m:val="{"/>
                  <m:sepChr m:val=""/>
                  <m:endChr m:val=""/>
                </m:dPr>
                <m:e>
                  <m:m>
                    <m:mPr>
                      <m:baseJc m:val="center"/>
                      <m:plcHide m:val="on"/>
                      <m:mcs>
                        <m:mc>
                          <m:mcPr>
                            <m:count m:val="2"/>
                            <m:mcJc m:val="center"/>
                          </m:mcPr>
                        </m:mc>
                      </m:mcs>
                    </m:mPr>
                    <m:mr>
                      <m:e>
                        <m:sSubSup>
                          <m:e>
                            <m:bar>
                              <m:barPr>
                                <m:pos m:val="top"/>
                              </m:barPr>
                              <m:e>
                                <m:r>
                                  <m:t>x</m:t>
                                </m:r>
                              </m:e>
                            </m:bar>
                          </m:e>
                          <m:sub>
                            <m:r>
                              <m:t>j</m:t>
                            </m:r>
                          </m:sub>
                          <m:sup>
                            <m:d>
                              <m:dPr>
                                <m:sepChr m:val=""/>
                              </m:dPr>
                              <m:e>
                                <m:r>
                                  <m:t>δ</m:t>
                                </m:r>
                              </m:e>
                            </m:d>
                          </m:sup>
                        </m:sSubSup>
                        <m:r>
                          <m:t>,</m:t>
                        </m:r>
                      </m:e>
                      <m:e>
                        <m:sSubSup>
                          <m:e>
                            <m:r>
                              <m:t>x</m:t>
                            </m:r>
                          </m:e>
                          <m:sub>
                            <m:r>
                              <m:t>ij</m:t>
                            </m:r>
                          </m:sub>
                          <m:sup>
                            <m:d>
                              <m:dPr>
                                <m:sepChr m:val=""/>
                              </m:dPr>
                              <m:e>
                                <m:r>
                                  <m:t>δ</m:t>
                                </m:r>
                              </m:e>
                            </m:d>
                          </m:sup>
                        </m:sSubSup>
                        <m:r>
                          <m:rPr>
                            <m:sty m:val="p"/>
                          </m:rPr>
                          <m:t> 缺失</m:t>
                        </m:r>
                        <m:r>
                          <m:t>,</m:t>
                        </m:r>
                      </m:e>
                    </m:mr>
                    <m:mr>
                      <m:e>
                        <m:sSubSup>
                          <m:e>
                            <m:r>
                              <m:t>x</m:t>
                            </m:r>
                          </m:e>
                          <m:sub>
                            <m:r>
                              <m:t>ij</m:t>
                            </m:r>
                          </m:sub>
                          <m:sup>
                            <m:d>
                              <m:dPr>
                                <m:sepChr m:val=""/>
                              </m:dPr>
                              <m:e>
                                <m:r>
                                  <m:t>δ</m:t>
                                </m:r>
                              </m:e>
                            </m:d>
                          </m:sup>
                        </m:sSubSup>
                        <m:r>
                          <m:t>,</m:t>
                        </m:r>
                      </m:e>
                      <m:e>
                        <m:r>
                          <m:rPr>
                            <m:nor/>
                          </m:rPr>
                          <m:t>其他</m:t>
                        </m:r>
                        <m:r>
                          <m:t>,</m:t>
                        </m:r>
                      </m:e>
                    </m:mr>
                  </m:m>
                </m:e>
              </m:d>
            </m:oMath>
          </w:p>
          <w:p>
            <w:pPr>
              <w:spacing w:before="0" w:after="0" w:line="240" w:lineRule="auto"/>
              <w:jc w:val="center"/>
            </w:pPr>
            <m:oMath>
              <m:sSubSup>
                <m:e>
                  <m:bar>
                    <m:barPr>
                      <m:pos m:val="top"/>
                    </m:barPr>
                    <m:e>
                      <m:r>
                        <m:t>x</m:t>
                      </m:r>
                    </m:e>
                  </m:bar>
                </m:e>
                <m:sub>
                  <m:r>
                    <m:t>j</m:t>
                  </m:r>
                </m:sub>
                <m:sup>
                  <m:d>
                    <m:dPr>
                      <m:sepChr m:val=""/>
                    </m:dPr>
                    <m:e>
                      <m:r>
                        <m:t>δ</m:t>
                      </m:r>
                    </m:e>
                  </m:d>
                </m:sup>
              </m:sSubSup>
              <m:r>
                <m:t>=</m:t>
              </m:r>
              <m:f>
                <m:fPr>
                  <m:type m:val="bar"/>
                </m:fPr>
                <m:num>
                  <m:r>
                    <m:t>1</m:t>
                  </m:r>
                </m:num>
                <m:den>
                  <m:d>
                    <m:dPr>
                      <m:begChr m:val="|"/>
                      <m:sepChr m:val=""/>
                      <m:endChr m:val="|"/>
                    </m:dPr>
                    <m:e>
                      <m:sSubSup>
                        <m:e>
                          <m:r>
                            <m:t>𝒪</m:t>
                          </m:r>
                        </m:e>
                        <m:sub>
                          <m:r>
                            <m:t>j</m:t>
                          </m:r>
                        </m:sub>
                        <m:sup>
                          <m:d>
                            <m:dPr>
                              <m:sepChr m:val=""/>
                            </m:dPr>
                            <m:e>
                              <m:r>
                                <m:t>δ</m:t>
                              </m:r>
                            </m:e>
                          </m:d>
                        </m:sup>
                      </m:sSubSup>
                    </m:e>
                  </m:d>
                </m:den>
              </m:f>
              <m:nary>
                <m:naryPr>
                  <m:chr m:val="∑"/>
                  <m:limLoc m:val="subSup"/>
                  <m:grow m:val="1"/>
                  <m:subHide m:val="off"/>
                  <m:supHide m:val="on"/>
                </m:naryPr>
                <m:sub>
                  <m:r>
                    <m:t>i∈</m:t>
                  </m:r>
                  <m:sSubSup>
                    <m:e>
                      <m:r>
                        <m:t>𝒪</m:t>
                      </m:r>
                    </m:e>
                    <m:sub>
                      <m:r>
                        <m:t>j</m:t>
                      </m:r>
                    </m:sub>
                    <m:sup>
                      <m:d>
                        <m:dPr>
                          <m:sepChr m:val=""/>
                        </m:dPr>
                        <m:e>
                          <m:r>
                            <m:t>δ</m:t>
                          </m:r>
                        </m:e>
                      </m:d>
                    </m:sup>
                  </m:sSubSup>
                </m:sub>
                <m:sup/>
                <m:e>
                  <m:sSub>
                    <m:e>
                      <m:r>
                        <m:t>x</m:t>
                      </m:r>
                    </m:e>
                    <m:sub>
                      <m:r>
                        <m:t>ij</m:t>
                      </m:r>
                    </m:sub>
                  </m:sSub>
                </m:e>
              </m:nary>
              <m:r>
                <m:t>.</m:t>
              </m:r>
            </m:oMath>
          </w:p>
        </w:tc>
        <w:tc>
          <w:tcPr>
            <w:tcW w:type="dxa" w:w="964"/>
            <w:vAlign w:val="center"/>
          </w:tcPr>
          <w:p>
            <w:pPr>
              <w:jc w:val="right"/>
            </w:pPr>
            <w:r>
              <w:rPr>
                <w:rFonts w:ascii="Times New Roman" w:hAnsi="Times New Roman" w:eastAsia="宋体"/>
                <w:b w:val="0"/>
                <w:sz w:val="18"/>
              </w:rPr>
              <w:t>（18）</w:t>
            </w:r>
          </w:p>
        </w:tc>
      </w:tr>
    </w:tbl>
    <w:p>
      <w:pPr>
        <w:keepNext/>
        <w:spacing w:before="0" w:after="0" w:line="240" w:lineRule="auto"/>
      </w:pPr>
      <w:r>
        <w:rPr>
          <w:sz w:val="16"/>
        </w:rPr>
        <w:t xml:space="preserve"> </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sSubSup>
                <m:e>
                  <m:r>
                    <m:t>z</m:t>
                  </m:r>
                </m:e>
                <m:sub>
                  <m:r>
                    <m:t>ij</m:t>
                  </m:r>
                </m:sub>
                <m:sup>
                  <m:d>
                    <m:dPr>
                      <m:sepChr m:val=""/>
                    </m:dPr>
                    <m:e>
                      <m:r>
                        <m:t>δ</m:t>
                      </m:r>
                    </m:e>
                  </m:d>
                </m:sup>
              </m:sSubSup>
              <m:r>
                <m:t>=</m:t>
              </m:r>
              <m:f>
                <m:fPr>
                  <m:type m:val="bar"/>
                </m:fPr>
                <m:num>
                  <m:sSub>
                    <m:e>
                      <m:limUpp>
                        <m:e>
                          <m:r>
                            <m:t>x</m:t>
                          </m:r>
                        </m:e>
                        <m:lim>
                          <m:r>
                            <m:t>~</m:t>
                          </m:r>
                        </m:lim>
                      </m:limUpp>
                    </m:e>
                    <m:sub>
                      <m:r>
                        <m:t>ij</m:t>
                      </m:r>
                    </m:sub>
                  </m:sSub>
                  <m:r>
                    <m:t>−</m:t>
                  </m:r>
                  <m:sSubSup>
                    <m:e>
                      <m:r>
                        <m:t>μ</m:t>
                      </m:r>
                    </m:e>
                    <m:sub>
                      <m:r>
                        <m:t>j</m:t>
                      </m:r>
                    </m:sub>
                    <m:sup>
                      <m:d>
                        <m:dPr>
                          <m:sepChr m:val=""/>
                        </m:dPr>
                        <m:e>
                          <m:r>
                            <m:t>δ</m:t>
                          </m:r>
                        </m:e>
                      </m:d>
                    </m:sup>
                  </m:sSubSup>
                </m:num>
                <m:den>
                  <m:sSubSup>
                    <m:e>
                      <m:r>
                        <m:t>σ</m:t>
                      </m:r>
                    </m:e>
                    <m:sub>
                      <m:r>
                        <m:t>j</m:t>
                      </m:r>
                    </m:sub>
                    <m:sup>
                      <m:d>
                        <m:dPr>
                          <m:sepChr m:val=""/>
                        </m:dPr>
                        <m:e>
                          <m:r>
                            <m:t>δ</m:t>
                          </m:r>
                        </m:e>
                      </m:d>
                    </m:sup>
                  </m:sSubSup>
                </m:den>
              </m:f>
              <m:r>
                <m:t>.</m:t>
              </m:r>
            </m:oMath>
          </w:p>
        </w:tc>
        <w:tc>
          <w:tcPr>
            <w:tcW w:type="dxa" w:w="964"/>
          </w:tcPr>
          <w:p>
            <w:pPr>
              <w:jc w:val="right"/>
            </w:pPr>
            <w:r>
              <w:rPr>
                <w:rFonts w:ascii="Times New Roman" w:hAnsi="Times New Roman" w:eastAsia="宋体"/>
                <w:b w:val="0"/>
                <w:sz w:val="18"/>
              </w:rPr>
              <w:t>（19）</w:t>
            </w:r>
          </w:p>
        </w:tc>
      </w:tr>
    </w:tbl>
    <w:p>
      <w:pPr>
        <w:spacing w:before="0" w:after="0" w:line="240" w:lineRule="auto"/>
      </w:pPr>
      <w:r>
        <w:rPr>
          <w:sz w:val="16"/>
        </w:rPr>
        <w:t xml:space="preserve"> </w:t>
      </w:r>
    </w:p>
    <w:p>
      <w:pPr>
        <w:spacing w:line="312" w:lineRule="auto" w:after="60"/>
        <w:ind w:firstLine="420"/>
      </w:pPr>
      <w:r>
        <w:rPr>
          <w:rFonts w:ascii="Times New Roman" w:hAnsi="Times New Roman" w:eastAsia="宋体"/>
          <w:b w:val="0"/>
          <w:sz w:val="21"/>
        </w:rPr>
        <w:t>方案二保留缺失值，仅以遮掩后训练集的均值与标准差标准化可观测值，把含缺失矩阵直接输入直方图梯度提升回归，使模型在训练过程中学习缺失方向。两种方案均在含缺失测试集上评价，并使用完全相同的遮掩位置。非零遮掩比例重复3个随机种子，报告50维平均决定系数的均值与标准差。由于模型类型与缺失处理方式同时变化，结果用于比较两套完整方案，不作单一填补机制的因果归因。</w:t>
      </w:r>
    </w:p>
    <w:p>
      <w:pPr>
        <w:spacing w:line="312" w:lineRule="auto" w:after="60"/>
        <w:ind w:firstLine="420"/>
      </w:pPr>
      <w:r>
        <w:rPr>
          <w:rFonts w:ascii="Times New Roman" w:hAnsi="Times New Roman" w:eastAsia="宋体"/>
          <w:b w:val="0"/>
          <w:sz w:val="21"/>
          <w:highlight w:val="yellow"/>
        </w:rPr>
        <w:t>此外，为直接检验最终采用的评分方案，在上述完全相同的遮掩位置下，对“随机森林＋分位标定”方案（即5.5.1选定的随机森林回归与5.5.2的分位标定路线）同步报告连续预测的决定系数，以及分级层面的二次加权Kappa系数与等级准确率。分级边界仍仅由完整训练集标签估计，遮掩只改变特征输入、不改变等级标定基准。</w:t>
      </w:r>
    </w:p>
    <w:p>
      <w:pPr>
        <w:keepNext/>
        <w:spacing w:before="140" w:after="80"/>
      </w:pPr>
      <w:r>
        <w:rPr>
          <w:rFonts w:ascii="Times New Roman" w:hAnsi="Times New Roman" w:eastAsia="黑体"/>
          <w:b/>
          <w:sz w:val="22"/>
        </w:rPr>
        <w:t>5.5.4  评价指标</w:t>
      </w:r>
    </w:p>
    <w:p>
      <w:pPr>
        <w:keepNext/>
        <w:spacing w:line="312" w:lineRule="auto" w:after="60"/>
        <w:ind w:firstLine="420"/>
      </w:pPr>
      <w:r>
        <w:rPr>
          <w:rFonts w:ascii="Times New Roman" w:hAnsi="Times New Roman" w:eastAsia="宋体"/>
          <w:b w:val="0"/>
          <w:sz w:val="21"/>
        </w:rPr>
        <w:t>连续预测采用逐维决定系数和秩相关评价。对测试集 E，第 j 维的决定系数为</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vAlign w:val="center"/>
          </w:tcPr>
          <w:p>
            <w:pPr>
              <w:spacing w:before="0" w:after="0" w:line="240" w:lineRule="auto"/>
              <w:jc w:val="center"/>
            </w:pPr>
            <m:oMath>
              <m:sSubSup>
                <m:e>
                  <m:r>
                    <m:t>R</m:t>
                  </m:r>
                </m:e>
                <m:sub>
                  <m:r>
                    <m:t>j</m:t>
                  </m:r>
                </m:sub>
                <m:sup>
                  <m:r>
                    <m:t>2</m:t>
                  </m:r>
                </m:sup>
              </m:sSubSup>
              <m:r>
                <m:t>=1−</m:t>
              </m:r>
              <m:f>
                <m:fPr>
                  <m:type m:val="bar"/>
                </m:fPr>
                <m:num>
                  <m:nary>
                    <m:naryPr>
                      <m:chr m:val="∑"/>
                      <m:limLoc m:val="subSup"/>
                      <m:grow m:val="1"/>
                      <m:subHide m:val="off"/>
                      <m:supHide m:val="on"/>
                    </m:naryPr>
                    <m:sub>
                      <m:r>
                        <m:t>i∈ℰ</m:t>
                      </m:r>
                    </m:sub>
                    <m:sup/>
                    <m:e>
                      <m:r>
                        <m:t>(</m:t>
                      </m:r>
                    </m:e>
                  </m:nary>
                  <m:sSub>
                    <m:e>
                      <m:r>
                        <m:t>y</m:t>
                      </m:r>
                    </m:e>
                    <m:sub>
                      <m:r>
                        <m:t>ij</m:t>
                      </m:r>
                    </m:sub>
                  </m:sSub>
                  <m:r>
                    <m:t>−</m:t>
                  </m:r>
                  <m:sSub>
                    <m:e>
                      <m:limUpp>
                        <m:e>
                          <m:r>
                            <m:t>y</m:t>
                          </m:r>
                        </m:e>
                        <m:lim>
                          <m:r>
                            <m:t>^</m:t>
                          </m:r>
                        </m:lim>
                      </m:limUpp>
                    </m:e>
                    <m:sub>
                      <m:r>
                        <m:t>ij</m:t>
                      </m:r>
                    </m:sub>
                  </m:sSub>
                  <m:sSup>
                    <m:e>
                      <m:r>
                        <m:t>)</m:t>
                      </m:r>
                    </m:e>
                    <m:sup>
                      <m:r>
                        <m:t>2</m:t>
                      </m:r>
                    </m:sup>
                  </m:sSup>
                </m:num>
                <m:den>
                  <m:nary>
                    <m:naryPr>
                      <m:chr m:val="∑"/>
                      <m:limLoc m:val="subSup"/>
                      <m:grow m:val="1"/>
                      <m:subHide m:val="off"/>
                      <m:supHide m:val="on"/>
                    </m:naryPr>
                    <m:sub>
                      <m:r>
                        <m:t>i∈ℰ</m:t>
                      </m:r>
                    </m:sub>
                    <m:sup/>
                    <m:e>
                      <m:r>
                        <m:t>(</m:t>
                      </m:r>
                    </m:e>
                  </m:nary>
                  <m:sSub>
                    <m:e>
                      <m:r>
                        <m:t>y</m:t>
                      </m:r>
                    </m:e>
                    <m:sub>
                      <m:r>
                        <m:t>ij</m:t>
                      </m:r>
                    </m:sub>
                  </m:sSub>
                  <m:r>
                    <m:t>−</m:t>
                  </m:r>
                  <m:sSub>
                    <m:e>
                      <m:bar>
                        <m:barPr>
                          <m:pos m:val="top"/>
                        </m:barPr>
                        <m:e>
                          <m:r>
                            <m:t>y</m:t>
                          </m:r>
                        </m:e>
                      </m:bar>
                    </m:e>
                    <m:sub>
                      <m:r>
                        <m:t>·j</m:t>
                      </m:r>
                    </m:sub>
                  </m:sSub>
                  <m:sSup>
                    <m:e>
                      <m:r>
                        <m:t>)</m:t>
                      </m:r>
                    </m:e>
                    <m:sup>
                      <m:r>
                        <m:t>2</m:t>
                      </m:r>
                    </m:sup>
                  </m:sSup>
                </m:den>
              </m:f>
              <m:r>
                <m:t>,</m:t>
              </m:r>
            </m:oMath>
          </w:p>
          <w:p>
            <w:pPr>
              <w:spacing w:before="0" w:after="0" w:line="240" w:lineRule="auto"/>
              <w:jc w:val="center"/>
            </w:pPr>
            <m:oMath>
              <m:acc>
                <m:accPr>
                  <m:chr m:val="―"/>
                </m:accPr>
                <m:e>
                  <m:sSup>
                    <m:e>
                      <m:r>
                        <m:t>R</m:t>
                      </m:r>
                    </m:e>
                    <m:sup>
                      <m:r>
                        <m:t>2</m:t>
                      </m:r>
                    </m:sup>
                  </m:sSup>
                </m:e>
              </m:acc>
              <m:r>
                <m:t>=</m:t>
              </m:r>
              <m:f>
                <m:fPr>
                  <m:type m:val="bar"/>
                </m:fPr>
                <m:num>
                  <m:r>
                    <m:t>1</m:t>
                  </m:r>
                </m:num>
                <m:den>
                  <m:r>
                    <m:t>q</m:t>
                  </m:r>
                </m:den>
              </m:f>
              <m:nary>
                <m:naryPr>
                  <m:chr m:val="∑"/>
                  <m:limLoc m:val="subSup"/>
                  <m:grow m:val="1"/>
                  <m:subHide m:val="off"/>
                  <m:supHide m:val="off"/>
                </m:naryPr>
                <m:sub>
                  <m:r>
                    <m:t>j=1</m:t>
                  </m:r>
                </m:sub>
                <m:sup>
                  <m:r>
                    <m:t>q</m:t>
                  </m:r>
                </m:sup>
                <m:e>
                  <m:sSubSup>
                    <m:e>
                      <m:r>
                        <m:t>R</m:t>
                      </m:r>
                    </m:e>
                    <m:sub>
                      <m:r>
                        <m:t>j</m:t>
                      </m:r>
                    </m:sub>
                    <m:sup>
                      <m:r>
                        <m:t>2</m:t>
                      </m:r>
                    </m:sup>
                  </m:sSubSup>
                </m:e>
              </m:nary>
              <m:r>
                <m:t>.</m:t>
              </m:r>
            </m:oMath>
          </w:p>
        </w:tc>
        <w:tc>
          <w:tcPr>
            <w:tcW w:type="dxa" w:w="964"/>
            <w:vAlign w:val="center"/>
          </w:tcPr>
          <w:p>
            <w:pPr>
              <w:jc w:val="right"/>
            </w:pPr>
            <w:r>
              <w:rPr>
                <w:rFonts w:ascii="Times New Roman" w:hAnsi="Times New Roman" w:eastAsia="宋体"/>
                <w:b w:val="0"/>
                <w:sz w:val="18"/>
              </w:rPr>
              <w:t>（20）</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秩相关用于衡量预测值与观测值排序的一致性。Spearman秩相关系数等于观测值平均秩与预测值平均秩之间的Pearson相关系数：</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tcPr>
          <w:p>
            <w:pPr>
              <w:spacing w:before="0" w:after="0" w:line="240" w:lineRule="auto"/>
              <w:jc w:val="center"/>
            </w:pPr>
            <m:oMath>
              <m:sSub>
                <m:e>
                  <m:r>
                    <m:t>ρ</m:t>
                  </m:r>
                </m:e>
                <m:sub>
                  <m:r>
                    <m:t>j</m:t>
                  </m:r>
                </m:sub>
              </m:sSub>
              <m:r>
                <m:t>=</m:t>
              </m:r>
              <m:f>
                <m:fPr>
                  <m:type m:val="bar"/>
                </m:fPr>
                <m:num>
                  <m:r>
                    <m:rPr>
                      <m:sty m:val="p"/>
                    </m:rPr>
                    <m:t>Cov</m:t>
                  </m:r>
                  <m:r>
                    <m:t>(</m:t>
                  </m:r>
                  <m:sSub>
                    <m:e>
                      <m:r>
                        <m:t>a</m:t>
                      </m:r>
                    </m:e>
                    <m:sub>
                      <m:r>
                        <m:t>j</m:t>
                      </m:r>
                    </m:sub>
                  </m:sSub>
                  <m:r>
                    <m:t>,</m:t>
                  </m:r>
                  <m:sSub>
                    <m:e>
                      <m:r>
                        <m:t>b</m:t>
                      </m:r>
                    </m:e>
                    <m:sub>
                      <m:r>
                        <m:t>j</m:t>
                      </m:r>
                    </m:sub>
                  </m:sSub>
                  <m:r>
                    <m:t>)</m:t>
                  </m:r>
                </m:num>
                <m:den>
                  <m:rad>
                    <m:radPr>
                      <m:degHide m:val="on"/>
                    </m:radPr>
                    <m:deg/>
                    <m:e>
                      <m:r>
                        <m:rPr>
                          <m:sty m:val="p"/>
                        </m:rPr>
                        <m:t>Var</m:t>
                      </m:r>
                      <m:r>
                        <m:t>(</m:t>
                      </m:r>
                      <m:sSub>
                        <m:e>
                          <m:r>
                            <m:t>a</m:t>
                          </m:r>
                        </m:e>
                        <m:sub>
                          <m:r>
                            <m:t>j</m:t>
                          </m:r>
                        </m:sub>
                      </m:sSub>
                      <m:r>
                        <m:t>)</m:t>
                      </m:r>
                      <m:r>
                        <m:rPr>
                          <m:sty m:val="p"/>
                        </m:rPr>
                        <m:t>Var</m:t>
                      </m:r>
                      <m:r>
                        <m:t>(</m:t>
                      </m:r>
                      <m:sSub>
                        <m:e>
                          <m:r>
                            <m:t>b</m:t>
                          </m:r>
                        </m:e>
                        <m:sub>
                          <m:r>
                            <m:t>j</m:t>
                          </m:r>
                        </m:sub>
                      </m:sSub>
                      <m:r>
                        <m:t>)</m:t>
                      </m:r>
                    </m:e>
                  </m:rad>
                </m:den>
              </m:f>
              <m:r>
                <m:t>.</m:t>
              </m:r>
            </m:oMath>
          </w:p>
        </w:tc>
        <w:tc>
          <w:tcPr>
            <w:tcW w:type="dxa" w:w="964"/>
          </w:tcPr>
          <w:p>
            <w:pPr>
              <w:jc w:val="right"/>
            </w:pPr>
            <w:r>
              <w:rPr>
                <w:rFonts w:ascii="Times New Roman" w:hAnsi="Times New Roman" w:eastAsia="宋体"/>
                <w:b w:val="0"/>
                <w:sz w:val="18"/>
              </w:rPr>
              <w:t>（21）</w:t>
            </w:r>
          </w:p>
        </w:tc>
      </w:tr>
    </w:tbl>
    <w:p>
      <w:pPr>
        <w:spacing w:before="0" w:after="0" w:line="240" w:lineRule="auto"/>
      </w:pPr>
      <w:r>
        <w:rPr>
          <w:sz w:val="16"/>
        </w:rPr>
        <w:t xml:space="preserve"> </w:t>
      </w:r>
    </w:p>
    <w:p>
      <w:pPr>
        <w:keepNext/>
        <w:spacing w:line="312" w:lineRule="auto" w:after="60"/>
        <w:ind w:firstLine="420"/>
      </w:pPr>
      <w:r>
        <w:rPr>
          <w:rFonts w:ascii="Times New Roman" w:hAnsi="Times New Roman" w:eastAsia="宋体"/>
          <w:b w:val="0"/>
          <w:sz w:val="21"/>
        </w:rPr>
        <w:t>其中，aᵢⱼ 与 bᵢⱼ 分别为第 i 款样本在第 j 维上的观测值与预测值的平均秩；Cov 与 Var 均按测试集样本计算，上式即两者平均秩之间的Pearson相关系数。对于重复取值，采用平均秩处理，以避免忽略并列秩对计算结果的影响。分级质量采用严格准确率、相邻一级容差准确率和二次加权Kappa系数。令 K=7，O(a,b) 与 E(a,b) 分别表示实际等级 a、预测等级 b 的观测比例和随机一致比例，则</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vAlign w:val="center"/>
          </w:tcPr>
          <w:p>
            <w:pPr>
              <w:spacing w:before="0" w:after="0" w:line="240" w:lineRule="auto"/>
              <w:jc w:val="center"/>
            </w:pPr>
            <m:oMath>
              <m:sSub>
                <m:e>
                  <m:r>
                    <m:t>w</m:t>
                  </m:r>
                </m:e>
                <m:sub>
                  <m:r>
                    <m:t>ab</m:t>
                  </m:r>
                </m:sub>
              </m:sSub>
              <m:r>
                <m:t>=</m:t>
              </m:r>
              <m:sSup>
                <m:e>
                  <m:d>
                    <m:dPr>
                      <m:sepChr m:val=""/>
                    </m:dPr>
                    <m:e>
                      <m:f>
                        <m:fPr>
                          <m:type m:val="bar"/>
                        </m:fPr>
                        <m:num>
                          <m:r>
                            <m:t>a−b</m:t>
                          </m:r>
                        </m:num>
                        <m:den>
                          <m:r>
                            <m:t>K−1</m:t>
                          </m:r>
                        </m:den>
                      </m:f>
                    </m:e>
                  </m:d>
                </m:e>
                <m:sup>
                  <m:r>
                    <m:t>2</m:t>
                  </m:r>
                </m:sup>
              </m:sSup>
              <m:r>
                <m:t>,</m:t>
              </m:r>
            </m:oMath>
          </w:p>
          <w:p>
            <w:pPr>
              <w:spacing w:before="0" w:after="0" w:line="240" w:lineRule="auto"/>
              <w:jc w:val="center"/>
            </w:pPr>
            <m:oMath>
              <m:sSub>
                <m:e>
                  <m:r>
                    <m:t>κ</m:t>
                  </m:r>
                </m:e>
                <m:sub>
                  <m:r>
                    <m:t>w</m:t>
                  </m:r>
                </m:sub>
              </m:sSub>
              <m:r>
                <m:t>=1−</m:t>
              </m:r>
              <m:f>
                <m:fPr>
                  <m:type m:val="bar"/>
                </m:fPr>
                <m:num>
                  <m:nary>
                    <m:naryPr>
                      <m:chr m:val="∑"/>
                      <m:limLoc m:val="subSup"/>
                      <m:grow m:val="1"/>
                      <m:subHide m:val="off"/>
                      <m:supHide m:val="on"/>
                    </m:naryPr>
                    <m:sub>
                      <m:r>
                        <m:t>a,b</m:t>
                      </m:r>
                    </m:sub>
                    <m:sup/>
                    <m:e>
                      <m:sSub>
                        <m:e>
                          <m:r>
                            <m:t>w</m:t>
                          </m:r>
                        </m:e>
                        <m:sub>
                          <m:r>
                            <m:t>ab</m:t>
                          </m:r>
                        </m:sub>
                      </m:sSub>
                    </m:e>
                  </m:nary>
                  <m:sSub>
                    <m:e>
                      <m:r>
                        <m:t>O</m:t>
                      </m:r>
                    </m:e>
                    <m:sub>
                      <m:r>
                        <m:t>ab</m:t>
                      </m:r>
                    </m:sub>
                  </m:sSub>
                </m:num>
                <m:den>
                  <m:nary>
                    <m:naryPr>
                      <m:chr m:val="∑"/>
                      <m:limLoc m:val="subSup"/>
                      <m:grow m:val="1"/>
                      <m:subHide m:val="off"/>
                      <m:supHide m:val="on"/>
                    </m:naryPr>
                    <m:sub>
                      <m:r>
                        <m:t>a,b</m:t>
                      </m:r>
                    </m:sub>
                    <m:sup/>
                    <m:e>
                      <m:sSub>
                        <m:e>
                          <m:r>
                            <m:t>w</m:t>
                          </m:r>
                        </m:e>
                        <m:sub>
                          <m:r>
                            <m:t>ab</m:t>
                          </m:r>
                        </m:sub>
                      </m:sSub>
                    </m:e>
                  </m:nary>
                  <m:sSub>
                    <m:e>
                      <m:r>
                        <m:t>E</m:t>
                      </m:r>
                    </m:e>
                    <m:sub>
                      <m:r>
                        <m:t>ab</m:t>
                      </m:r>
                    </m:sub>
                  </m:sSub>
                </m:den>
              </m:f>
              <m:r>
                <m:t>.</m:t>
              </m:r>
            </m:oMath>
          </w:p>
        </w:tc>
        <w:tc>
          <w:tcPr>
            <w:tcW w:type="dxa" w:w="964"/>
            <w:vAlign w:val="center"/>
          </w:tcPr>
          <w:p>
            <w:pPr>
              <w:jc w:val="right"/>
            </w:pPr>
            <w:r>
              <w:rPr>
                <w:rFonts w:ascii="Times New Roman" w:hAnsi="Times New Roman" w:eastAsia="宋体"/>
                <w:b w:val="0"/>
                <w:sz w:val="18"/>
              </w:rPr>
              <w:t>（22）</w:t>
            </w:r>
          </w:p>
        </w:tc>
      </w:tr>
    </w:tbl>
    <w:p>
      <w:pPr>
        <w:keepNext/>
        <w:spacing w:before="0" w:after="0" w:line="240" w:lineRule="auto"/>
      </w:pPr>
      <w:r>
        <w:rPr>
          <w:sz w:val="16"/>
        </w:rPr>
        <w:t xml:space="preserve"> </w:t>
      </w:r>
    </w:p>
    <w:tbl>
      <w:tblPr>
        <w:tblW w:type="auto" w:w="0"/>
        <w:jc w:val="center"/>
        <w:tblLayout w:type="fixed"/>
        <w:tblLook w:firstColumn="1" w:firstRow="1" w:lastColumn="0" w:lastRow="0" w:noHBand="0" w:noVBand="1" w:val="04A0"/>
      </w:tblPr>
      <w:tblGrid>
        <w:gridCol w:w="3099"/>
        <w:gridCol w:w="3099"/>
        <w:gridCol w:w="3099"/>
      </w:tblGrid>
      <w:tr>
        <w:trPr>
          <w:cantSplit/>
        </w:trPr>
        <w:tc>
          <w:tcPr>
            <w:tcW w:type="dxa" w:w="964"/>
          </w:tcPr>
          <w:p/>
        </w:tc>
        <w:tc>
          <w:tcPr>
            <w:tcW w:type="dxa" w:w="7030"/>
            <w:vAlign w:val="center"/>
          </w:tcPr>
          <w:p>
            <w:pPr>
              <w:spacing w:before="0" w:after="0" w:line="240" w:lineRule="auto"/>
              <w:jc w:val="center"/>
            </w:pPr>
            <m:oMath>
              <m:r>
                <m:rPr>
                  <m:sty m:val="p"/>
                </m:rPr>
                <m:t>Acc</m:t>
              </m:r>
              <m:r>
                <m:t>=</m:t>
              </m:r>
              <m:f>
                <m:fPr>
                  <m:type m:val="bar"/>
                </m:fPr>
                <m:num>
                  <m:r>
                    <m:t>1</m:t>
                  </m:r>
                </m:num>
                <m:den>
                  <m:r>
                    <m:t>q</m:t>
                  </m:r>
                </m:den>
              </m:f>
              <m:nary>
                <m:naryPr>
                  <m:chr m:val="∑"/>
                  <m:limLoc m:val="subSup"/>
                  <m:grow m:val="1"/>
                  <m:subHide m:val="off"/>
                  <m:supHide m:val="off"/>
                </m:naryPr>
                <m:sub>
                  <m:r>
                    <m:t>j=1</m:t>
                  </m:r>
                </m:sub>
                <m:sup>
                  <m:r>
                    <m:t>q</m:t>
                  </m:r>
                </m:sup>
                <m:e>
                  <m:f>
                    <m:fPr>
                      <m:type m:val="bar"/>
                    </m:fPr>
                    <m:num>
                      <m:r>
                        <m:t>1</m:t>
                      </m:r>
                    </m:num>
                    <m:den>
                      <m:sSub>
                        <m:e>
                          <m:r>
                            <m:t>n</m:t>
                          </m:r>
                        </m:e>
                        <m:sub>
                          <m:r>
                            <m:t>ℰ</m:t>
                          </m:r>
                        </m:sub>
                      </m:sSub>
                    </m:den>
                  </m:f>
                </m:e>
              </m:nary>
              <m:nary>
                <m:naryPr>
                  <m:chr m:val="∑"/>
                  <m:limLoc m:val="subSup"/>
                  <m:grow m:val="1"/>
                  <m:subHide m:val="off"/>
                  <m:supHide m:val="on"/>
                </m:naryPr>
                <m:sub>
                  <m:r>
                    <m:t>i∈ℰ</m:t>
                  </m:r>
                </m:sub>
                <m:sup/>
                <m:e>
                  <m:r>
                    <m:t>𝕀(</m:t>
                  </m:r>
                </m:e>
              </m:nary>
              <m:sSub>
                <m:e>
                  <m:limUpp>
                    <m:e>
                      <m:r>
                        <m:t>ℓ</m:t>
                      </m:r>
                    </m:e>
                    <m:lim>
                      <m:r>
                        <m:t>^</m:t>
                      </m:r>
                    </m:lim>
                  </m:limUpp>
                </m:e>
                <m:sub>
                  <m:r>
                    <m:t>ij</m:t>
                  </m:r>
                </m:sub>
              </m:sSub>
              <m:r>
                <m:t>=</m:t>
              </m:r>
              <m:sSub>
                <m:e>
                  <m:r>
                    <m:t>ℓ</m:t>
                  </m:r>
                </m:e>
                <m:sub>
                  <m:r>
                    <m:t>ij</m:t>
                  </m:r>
                </m:sub>
              </m:sSub>
              <m:r>
                <m:t>),</m:t>
              </m:r>
            </m:oMath>
          </w:p>
          <w:p>
            <w:pPr>
              <w:spacing w:before="0" w:after="0" w:line="240" w:lineRule="auto"/>
              <w:jc w:val="center"/>
            </w:pPr>
            <m:oMath>
              <m:sSub>
                <m:e>
                  <m:r>
                    <m:rPr>
                      <m:sty m:val="p"/>
                    </m:rPr>
                    <m:t>Acc</m:t>
                  </m:r>
                </m:e>
                <m:sub>
                  <m:r>
                    <m:t>±1</m:t>
                  </m:r>
                </m:sub>
              </m:sSub>
              <m:r>
                <m:t>=</m:t>
              </m:r>
              <m:f>
                <m:fPr>
                  <m:type m:val="bar"/>
                </m:fPr>
                <m:num>
                  <m:r>
                    <m:t>1</m:t>
                  </m:r>
                </m:num>
                <m:den>
                  <m:r>
                    <m:t>q</m:t>
                  </m:r>
                </m:den>
              </m:f>
              <m:nary>
                <m:naryPr>
                  <m:chr m:val="∑"/>
                  <m:limLoc m:val="subSup"/>
                  <m:grow m:val="1"/>
                  <m:subHide m:val="off"/>
                  <m:supHide m:val="off"/>
                </m:naryPr>
                <m:sub>
                  <m:r>
                    <m:t>j=1</m:t>
                  </m:r>
                </m:sub>
                <m:sup>
                  <m:r>
                    <m:t>q</m:t>
                  </m:r>
                </m:sup>
                <m:e>
                  <m:f>
                    <m:fPr>
                      <m:type m:val="bar"/>
                    </m:fPr>
                    <m:num>
                      <m:r>
                        <m:t>1</m:t>
                      </m:r>
                    </m:num>
                    <m:den>
                      <m:sSub>
                        <m:e>
                          <m:r>
                            <m:t>n</m:t>
                          </m:r>
                        </m:e>
                        <m:sub>
                          <m:r>
                            <m:t>ℰ</m:t>
                          </m:r>
                        </m:sub>
                      </m:sSub>
                    </m:den>
                  </m:f>
                </m:e>
              </m:nary>
              <m:nary>
                <m:naryPr>
                  <m:chr m:val="∑"/>
                  <m:limLoc m:val="subSup"/>
                  <m:grow m:val="1"/>
                  <m:subHide m:val="off"/>
                  <m:supHide m:val="on"/>
                </m:naryPr>
                <m:sub>
                  <m:r>
                    <m:t>i∈ℰ</m:t>
                  </m:r>
                </m:sub>
                <m:sup/>
                <m:e>
                  <m:r>
                    <m:t>𝕀(|</m:t>
                  </m:r>
                </m:e>
              </m:nary>
              <m:sSub>
                <m:e>
                  <m:limUpp>
                    <m:e>
                      <m:r>
                        <m:t>ℓ</m:t>
                      </m:r>
                    </m:e>
                    <m:lim>
                      <m:r>
                        <m:t>^</m:t>
                      </m:r>
                    </m:lim>
                  </m:limUpp>
                </m:e>
                <m:sub>
                  <m:r>
                    <m:t>ij</m:t>
                  </m:r>
                </m:sub>
              </m:sSub>
              <m:r>
                <m:t>−</m:t>
              </m:r>
              <m:sSub>
                <m:e>
                  <m:r>
                    <m:t>ℓ</m:t>
                  </m:r>
                </m:e>
                <m:sub>
                  <m:r>
                    <m:t>ij</m:t>
                  </m:r>
                </m:sub>
              </m:sSub>
              <m:r>
                <m:t>|≤1).</m:t>
              </m:r>
            </m:oMath>
          </w:p>
        </w:tc>
        <w:tc>
          <w:tcPr>
            <w:tcW w:type="dxa" w:w="964"/>
            <w:vAlign w:val="center"/>
          </w:tcPr>
          <w:p>
            <w:pPr>
              <w:jc w:val="right"/>
            </w:pPr>
            <w:r>
              <w:rPr>
                <w:rFonts w:ascii="Times New Roman" w:hAnsi="Times New Roman" w:eastAsia="宋体"/>
                <w:b w:val="0"/>
                <w:sz w:val="18"/>
              </w:rPr>
              <w:t>（23）</w:t>
            </w:r>
          </w:p>
        </w:tc>
      </w:tr>
    </w:tbl>
    <w:p>
      <w:pPr>
        <w:spacing w:before="0" w:after="0" w:line="240" w:lineRule="auto"/>
      </w:pPr>
      <w:r>
        <w:rPr>
          <w:sz w:val="16"/>
        </w:rPr>
        <w:t xml:space="preserve"> </w:t>
      </w:r>
    </w:p>
    <w:p>
      <w:pPr>
        <w:keepNext/>
        <w:spacing w:before="200" w:after="120"/>
      </w:pPr>
      <w:r>
        <w:rPr>
          <w:rFonts w:ascii="Times New Roman" w:hAnsi="Times New Roman" w:eastAsia="黑体"/>
          <w:b/>
          <w:sz w:val="26"/>
        </w:rPr>
        <w:t>5.6  模型求解</w:t>
      </w:r>
    </w:p>
    <w:p>
      <w:pPr>
        <w:keepNext/>
        <w:spacing w:before="140" w:after="80"/>
      </w:pPr>
      <w:r>
        <w:rPr>
          <w:rFonts w:ascii="Times New Roman" w:hAnsi="Times New Roman" w:eastAsia="黑体"/>
          <w:b/>
          <w:sz w:val="22"/>
        </w:rPr>
        <w:t>5.6.1  参数选择与训练策略</w:t>
      </w:r>
    </w:p>
    <w:p>
      <w:pPr>
        <w:spacing w:line="312" w:lineRule="auto" w:after="60"/>
        <w:ind w:firstLine="420"/>
      </w:pPr>
      <w:r>
        <w:rPr>
          <w:rFonts w:ascii="Times New Roman" w:hAnsi="Times New Roman" w:eastAsia="宋体"/>
          <w:b w:val="0"/>
          <w:sz w:val="21"/>
        </w:rPr>
        <w:t>所有参数选择均在训练集内完成，测试集只用于最终评价，不参与模型选择。岭回归的正则化系数在 {0.1, 1, 10, 100, 1000} 内以五折交叉验证决定系数选取，最终选 α=1000，说明在231维化学指标下需要较强收缩。偏最小二乘回归的成分数在 {2, 5, 10, 15, 20, 30} 内选取，最终选5个成分，表明少量潜在方向已能提取主要化学—感官协方差。</w:t>
      </w:r>
    </w:p>
    <w:p>
      <w:pPr>
        <w:spacing w:line="312" w:lineRule="auto" w:after="60"/>
        <w:ind w:firstLine="420"/>
      </w:pPr>
      <w:r>
        <w:rPr>
          <w:rFonts w:ascii="Times New Roman" w:hAnsi="Times New Roman" w:eastAsia="宋体"/>
          <w:b w:val="0"/>
          <w:sz w:val="21"/>
        </w:rPr>
        <w:t>梯度提升回归若对50维分别做全网格搜索代价过高，故先在整体强度、酒花香气、酸度和二甲基硫四个代表性维度上做三折交叉验证预筛六组配置，再将获胜配置用于全部维度。预筛选定的配置为500棵树、学习率0.05、最大深度3、子采样率0.8，兼顾拟合能力与过拟合控制。随机森林与直方图梯度提升回归的参数依据高维小样本下的稳定性经验设定：限定分裂特征比例与叶节点最小样本数以降低方差，直方图模型加入L2惩罚并限制叶节点数。直接多分类模型采用较保守的最大深度3，避免在七个等级的小样本上过拟合。数据划分、交叉验证及模型随机种子设为0；非零遮掩比例下使用0、1、2三个随机种子重复实验。五折交叉验证采用打乱划分，主要参数见表5。</w:t>
      </w:r>
    </w:p>
    <w:p>
      <w:pPr>
        <w:keepNext/>
        <w:spacing w:before="100" w:after="60"/>
        <w:jc w:val="center"/>
      </w:pPr>
      <w:r>
        <w:rPr>
          <w:rFonts w:ascii="Times New Roman" w:hAnsi="Times New Roman" w:eastAsia="黑体"/>
          <w:b/>
          <w:sz w:val="18"/>
        </w:rPr>
        <w:t>表5  候选模型及主要求解参数</w:t>
      </w:r>
    </w:p>
    <w:tbl>
      <w:tblPr>
        <w:tblW w:type="auto" w:w="0"/>
        <w:jc w:val="center"/>
        <w:tblLayout w:type="fixed"/>
        <w:tblLook w:firstColumn="1" w:firstRow="1" w:lastColumn="0" w:lastRow="0" w:noHBand="0" w:noVBand="1" w:val="04A0"/>
      </w:tblPr>
      <w:tblGrid>
        <w:gridCol w:w="3099"/>
        <w:gridCol w:w="3099"/>
        <w:gridCol w:w="3099"/>
      </w:tblGrid>
      <w:tr>
        <w:trPr>
          <w:tblHeader/>
        </w:trPr>
        <w:tc>
          <w:tcPr>
            <w:tcW w:type="dxa" w:w="2381"/>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模型</w:t>
            </w:r>
          </w:p>
        </w:tc>
        <w:tc>
          <w:tcPr>
            <w:tcW w:type="dxa" w:w="3855"/>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参数</w:t>
            </w:r>
          </w:p>
        </w:tc>
        <w:tc>
          <w:tcPr>
            <w:tcW w:type="dxa" w:w="1984"/>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取值</w:t>
            </w:r>
          </w:p>
        </w:tc>
      </w:tr>
      <w:tr>
        <w:tc>
          <w:tcPr>
            <w:tcW w:type="dxa" w:w="2381"/>
            <w:vAlign w:val="center"/>
            <w:tcBorders>
              <w:top w:val="nil"/>
              <w:bottom w:val="nil"/>
              <w:left w:val="nil"/>
              <w:right w:val="nil"/>
            </w:tcBorders>
          </w:tcPr>
          <w:p>
            <w:pPr>
              <w:spacing w:after="20"/>
              <w:jc w:val="left"/>
            </w:pPr>
            <w:r/>
            <w:r>
              <w:rPr>
                <w:rFonts w:ascii="Times New Roman" w:hAnsi="Times New Roman" w:eastAsia="宋体"/>
                <w:b w:val="0"/>
                <w:sz w:val="16"/>
              </w:rPr>
              <w:t>岭回归</w:t>
            </w:r>
          </w:p>
        </w:tc>
        <w:tc>
          <w:tcPr>
            <w:tcW w:type="dxa" w:w="3855"/>
            <w:vAlign w:val="center"/>
            <w:tcBorders>
              <w:top w:val="nil"/>
              <w:bottom w:val="nil"/>
              <w:left w:val="nil"/>
              <w:right w:val="nil"/>
            </w:tcBorders>
          </w:tcPr>
          <w:p>
            <w:pPr>
              <w:spacing w:after="20"/>
              <w:jc w:val="left"/>
            </w:pPr>
            <w:r/>
            <w:r>
              <w:rPr>
                <w:rFonts w:ascii="Times New Roman" w:hAnsi="Times New Roman" w:eastAsia="宋体"/>
                <w:b w:val="0"/>
                <w:sz w:val="16"/>
              </w:rPr>
              <w:t>正则化系数</w:t>
            </w:r>
          </w:p>
        </w:tc>
        <w:tc>
          <w:tcPr>
            <w:tcW w:type="dxa" w:w="1984"/>
            <w:vAlign w:val="center"/>
            <w:tcBorders>
              <w:top w:val="nil"/>
              <w:bottom w:val="nil"/>
              <w:left w:val="nil"/>
              <w:right w:val="nil"/>
            </w:tcBorders>
          </w:tcPr>
          <w:p>
            <w:pPr>
              <w:spacing w:after="20"/>
              <w:jc w:val="center"/>
            </w:pPr>
            <w:r/>
            <w:r>
              <w:rPr>
                <w:rFonts w:ascii="Times New Roman" w:hAnsi="Times New Roman" w:eastAsia="宋体"/>
                <w:b w:val="0"/>
                <w:sz w:val="16"/>
              </w:rPr>
              <w:t>1000</w:t>
            </w:r>
          </w:p>
        </w:tc>
      </w:tr>
      <w:tr>
        <w:tc>
          <w:tcPr>
            <w:tcW w:type="dxa" w:w="2381"/>
            <w:vAlign w:val="center"/>
            <w:tcBorders>
              <w:top w:val="nil"/>
              <w:bottom w:val="nil"/>
              <w:left w:val="nil"/>
              <w:right w:val="nil"/>
            </w:tcBorders>
          </w:tcPr>
          <w:p>
            <w:pPr>
              <w:spacing w:after="20"/>
              <w:jc w:val="left"/>
            </w:pPr>
            <w:r/>
            <w:r>
              <w:rPr>
                <w:rFonts w:ascii="Times New Roman" w:hAnsi="Times New Roman" w:eastAsia="宋体"/>
                <w:b w:val="0"/>
                <w:sz w:val="16"/>
              </w:rPr>
              <w:t>偏最小二乘回归</w:t>
            </w:r>
          </w:p>
        </w:tc>
        <w:tc>
          <w:tcPr>
            <w:tcW w:type="dxa" w:w="3855"/>
            <w:vAlign w:val="center"/>
            <w:tcBorders>
              <w:top w:val="nil"/>
              <w:bottom w:val="nil"/>
              <w:left w:val="nil"/>
              <w:right w:val="nil"/>
            </w:tcBorders>
          </w:tcPr>
          <w:p>
            <w:pPr>
              <w:spacing w:after="20"/>
              <w:jc w:val="left"/>
            </w:pPr>
            <w:r/>
            <w:r>
              <w:rPr>
                <w:rFonts w:ascii="Times New Roman" w:hAnsi="Times New Roman" w:eastAsia="宋体"/>
                <w:b w:val="0"/>
                <w:sz w:val="16"/>
              </w:rPr>
              <w:t>潜在成分数</w:t>
            </w:r>
          </w:p>
        </w:tc>
        <w:tc>
          <w:tcPr>
            <w:tcW w:type="dxa" w:w="1984"/>
            <w:vAlign w:val="center"/>
            <w:tcBorders>
              <w:top w:val="nil"/>
              <w:bottom w:val="nil"/>
              <w:left w:val="nil"/>
              <w:right w:val="nil"/>
            </w:tcBorders>
          </w:tcPr>
          <w:p>
            <w:pPr>
              <w:spacing w:after="20"/>
              <w:jc w:val="center"/>
            </w:pPr>
            <w:r/>
            <w:r>
              <w:rPr>
                <w:rFonts w:ascii="Times New Roman" w:hAnsi="Times New Roman" w:eastAsia="宋体"/>
                <w:b w:val="0"/>
                <w:sz w:val="16"/>
              </w:rPr>
              <w:t>5</w:t>
            </w:r>
          </w:p>
        </w:tc>
      </w:tr>
      <w:tr>
        <w:tc>
          <w:tcPr>
            <w:tcW w:type="dxa" w:w="2381"/>
            <w:vAlign w:val="center"/>
            <w:tcBorders>
              <w:top w:val="nil"/>
              <w:bottom w:val="nil"/>
              <w:left w:val="nil"/>
              <w:right w:val="nil"/>
            </w:tcBorders>
          </w:tcPr>
          <w:p>
            <w:pPr>
              <w:spacing w:after="20"/>
              <w:jc w:val="left"/>
            </w:pPr>
            <w:r/>
            <w:r>
              <w:rPr>
                <w:rFonts w:ascii="Times New Roman" w:hAnsi="Times New Roman" w:eastAsia="宋体"/>
                <w:b w:val="0"/>
                <w:sz w:val="16"/>
              </w:rPr>
              <w:t>梯度提升回归</w:t>
            </w:r>
          </w:p>
        </w:tc>
        <w:tc>
          <w:tcPr>
            <w:tcW w:type="dxa" w:w="3855"/>
            <w:vAlign w:val="center"/>
            <w:tcBorders>
              <w:top w:val="nil"/>
              <w:bottom w:val="nil"/>
              <w:left w:val="nil"/>
              <w:right w:val="nil"/>
            </w:tcBorders>
          </w:tcPr>
          <w:p>
            <w:pPr>
              <w:spacing w:after="20"/>
              <w:jc w:val="left"/>
            </w:pPr>
            <w:r/>
            <w:r>
              <w:rPr>
                <w:rFonts w:ascii="Times New Roman" w:hAnsi="Times New Roman" w:eastAsia="宋体"/>
                <w:b w:val="0"/>
                <w:sz w:val="16"/>
              </w:rPr>
              <w:t>树数量、学习率、最大深度、子采样率</w:t>
            </w:r>
          </w:p>
        </w:tc>
        <w:tc>
          <w:tcPr>
            <w:tcW w:type="dxa" w:w="1984"/>
            <w:vAlign w:val="center"/>
            <w:tcBorders>
              <w:top w:val="nil"/>
              <w:bottom w:val="nil"/>
              <w:left w:val="nil"/>
              <w:right w:val="nil"/>
            </w:tcBorders>
          </w:tcPr>
          <w:p>
            <w:pPr>
              <w:spacing w:after="20"/>
              <w:jc w:val="center"/>
            </w:pPr>
            <w:r/>
            <w:r>
              <w:rPr>
                <w:rFonts w:ascii="Times New Roman" w:hAnsi="Times New Roman" w:eastAsia="宋体"/>
                <w:b w:val="0"/>
                <w:sz w:val="16"/>
              </w:rPr>
              <w:t>500、0.05、3、0.8</w:t>
            </w:r>
          </w:p>
        </w:tc>
      </w:tr>
      <w:tr>
        <w:tc>
          <w:tcPr>
            <w:tcW w:type="dxa" w:w="2381"/>
            <w:vAlign w:val="center"/>
            <w:tcBorders>
              <w:top w:val="nil"/>
              <w:bottom w:val="nil"/>
              <w:left w:val="nil"/>
              <w:right w:val="nil"/>
            </w:tcBorders>
          </w:tcPr>
          <w:p>
            <w:pPr>
              <w:spacing w:after="20"/>
              <w:jc w:val="left"/>
            </w:pPr>
            <w:r/>
            <w:r>
              <w:rPr>
                <w:rFonts w:ascii="Times New Roman" w:hAnsi="Times New Roman" w:eastAsia="宋体"/>
                <w:b w:val="0"/>
                <w:sz w:val="16"/>
              </w:rPr>
              <w:t>随机森林</w:t>
            </w:r>
          </w:p>
        </w:tc>
        <w:tc>
          <w:tcPr>
            <w:tcW w:type="dxa" w:w="3855"/>
            <w:vAlign w:val="center"/>
            <w:tcBorders>
              <w:top w:val="nil"/>
              <w:bottom w:val="nil"/>
              <w:left w:val="nil"/>
              <w:right w:val="nil"/>
            </w:tcBorders>
          </w:tcPr>
          <w:p>
            <w:pPr>
              <w:spacing w:after="20"/>
              <w:jc w:val="left"/>
            </w:pPr>
            <w:r/>
            <w:r>
              <w:rPr>
                <w:rFonts w:ascii="Times New Roman" w:hAnsi="Times New Roman" w:eastAsia="宋体"/>
                <w:b w:val="0"/>
                <w:sz w:val="16"/>
              </w:rPr>
              <w:t>树数量、分裂特征比例、叶节点最小样本数</w:t>
            </w:r>
          </w:p>
        </w:tc>
        <w:tc>
          <w:tcPr>
            <w:tcW w:type="dxa" w:w="1984"/>
            <w:vAlign w:val="center"/>
            <w:tcBorders>
              <w:top w:val="nil"/>
              <w:bottom w:val="nil"/>
              <w:left w:val="nil"/>
              <w:right w:val="nil"/>
            </w:tcBorders>
          </w:tcPr>
          <w:p>
            <w:pPr>
              <w:spacing w:after="20"/>
              <w:jc w:val="center"/>
            </w:pPr>
            <w:r/>
            <w:r>
              <w:rPr>
                <w:rFonts w:ascii="Times New Roman" w:hAnsi="Times New Roman" w:eastAsia="宋体"/>
                <w:b w:val="0"/>
                <w:sz w:val="16"/>
              </w:rPr>
              <w:t>300、0.3、2</w:t>
            </w:r>
          </w:p>
        </w:tc>
      </w:tr>
      <w:tr>
        <w:tc>
          <w:tcPr>
            <w:tcW w:type="dxa" w:w="2381"/>
            <w:vAlign w:val="center"/>
            <w:tcBorders>
              <w:top w:val="nil"/>
              <w:bottom w:val="nil"/>
              <w:left w:val="nil"/>
              <w:right w:val="nil"/>
            </w:tcBorders>
          </w:tcPr>
          <w:p>
            <w:pPr>
              <w:spacing w:after="20"/>
              <w:jc w:val="left"/>
            </w:pPr>
            <w:r/>
            <w:r>
              <w:rPr>
                <w:rFonts w:ascii="Times New Roman" w:hAnsi="Times New Roman" w:eastAsia="宋体"/>
                <w:b w:val="0"/>
                <w:sz w:val="16"/>
              </w:rPr>
              <w:t>直方图梯度提升回归</w:t>
            </w:r>
          </w:p>
        </w:tc>
        <w:tc>
          <w:tcPr>
            <w:tcW w:type="dxa" w:w="3855"/>
            <w:vAlign w:val="center"/>
            <w:tcBorders>
              <w:top w:val="nil"/>
              <w:bottom w:val="nil"/>
              <w:left w:val="nil"/>
              <w:right w:val="nil"/>
            </w:tcBorders>
          </w:tcPr>
          <w:p>
            <w:pPr>
              <w:spacing w:after="20"/>
              <w:jc w:val="left"/>
            </w:pPr>
            <w:r/>
            <w:r>
              <w:rPr>
                <w:rFonts w:ascii="Times New Roman" w:hAnsi="Times New Roman" w:eastAsia="宋体"/>
                <w:b w:val="0"/>
                <w:sz w:val="16"/>
              </w:rPr>
              <w:t>迭代次数、学习率、最大叶节点数、L2惩罚</w:t>
            </w:r>
          </w:p>
        </w:tc>
        <w:tc>
          <w:tcPr>
            <w:tcW w:type="dxa" w:w="1984"/>
            <w:vAlign w:val="center"/>
            <w:tcBorders>
              <w:top w:val="nil"/>
              <w:bottom w:val="nil"/>
              <w:left w:val="nil"/>
              <w:right w:val="nil"/>
            </w:tcBorders>
          </w:tcPr>
          <w:p>
            <w:pPr>
              <w:spacing w:after="20"/>
              <w:jc w:val="center"/>
            </w:pPr>
            <w:r/>
            <w:r>
              <w:rPr>
                <w:rFonts w:ascii="Times New Roman" w:hAnsi="Times New Roman" w:eastAsia="宋体"/>
                <w:b w:val="0"/>
                <w:sz w:val="16"/>
              </w:rPr>
              <w:t>300、0.05、15、1.0</w:t>
            </w:r>
          </w:p>
        </w:tc>
      </w:tr>
      <w:tr>
        <w:tc>
          <w:tcPr>
            <w:tcW w:type="dxa" w:w="2381"/>
            <w:vAlign w:val="center"/>
            <w:tcBorders>
              <w:top w:val="nil"/>
              <w:bottom w:val="single" w:sz="12" w:color="000000"/>
              <w:left w:val="nil"/>
              <w:right w:val="nil"/>
            </w:tcBorders>
          </w:tcPr>
          <w:p>
            <w:pPr>
              <w:spacing w:after="20"/>
              <w:jc w:val="left"/>
            </w:pPr>
            <w:r/>
            <w:r>
              <w:rPr>
                <w:rFonts w:ascii="Times New Roman" w:hAnsi="Times New Roman" w:eastAsia="宋体"/>
                <w:b w:val="0"/>
                <w:sz w:val="16"/>
              </w:rPr>
              <w:t>直接多分类模型</w:t>
            </w:r>
          </w:p>
        </w:tc>
        <w:tc>
          <w:tcPr>
            <w:tcW w:type="dxa" w:w="3855"/>
            <w:vAlign w:val="center"/>
            <w:tcBorders>
              <w:top w:val="nil"/>
              <w:bottom w:val="single" w:sz="12" w:color="000000"/>
              <w:left w:val="nil"/>
              <w:right w:val="nil"/>
            </w:tcBorders>
          </w:tcPr>
          <w:p>
            <w:pPr>
              <w:spacing w:after="20"/>
              <w:jc w:val="left"/>
            </w:pPr>
            <w:r/>
            <w:r>
              <w:rPr>
                <w:rFonts w:ascii="Times New Roman" w:hAnsi="Times New Roman" w:eastAsia="宋体"/>
                <w:b w:val="0"/>
                <w:sz w:val="16"/>
              </w:rPr>
              <w:t>树数量、学习率、最大深度</w:t>
            </w:r>
          </w:p>
        </w:tc>
        <w:tc>
          <w:tcPr>
            <w:tcW w:type="dxa" w:w="1984"/>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200、0.05、3</w:t>
            </w:r>
          </w:p>
        </w:tc>
      </w:tr>
    </w:tbl>
    <w:p>
      <w:pPr>
        <w:spacing w:before="0" w:after="0" w:line="240" w:lineRule="auto"/>
      </w:pPr>
      <w:r>
        <w:rPr>
          <w:sz w:val="12"/>
        </w:rPr>
        <w:t xml:space="preserve"> </w:t>
      </w:r>
    </w:p>
    <w:p>
      <w:pPr>
        <w:keepNext/>
        <w:spacing w:before="140" w:after="80"/>
      </w:pPr>
      <w:r>
        <w:rPr>
          <w:rFonts w:ascii="Times New Roman" w:hAnsi="Times New Roman" w:eastAsia="黑体"/>
          <w:b/>
          <w:sz w:val="22"/>
        </w:rPr>
        <w:t>5.6.2  求解步骤</w:t>
      </w:r>
    </w:p>
    <w:p>
      <w:pPr>
        <w:spacing w:line="312" w:lineRule="auto" w:after="60"/>
        <w:ind w:firstLine="420"/>
      </w:pPr>
      <w:r>
        <w:rPr>
          <w:rFonts w:ascii="Times New Roman" w:hAnsi="Times New Roman" w:eastAsia="宋体"/>
          <w:b w:val="0"/>
          <w:sz w:val="21"/>
        </w:rPr>
        <w:t>算法输入为保留缺失标记的化合物矩阵、50维连续感官指标和风格标签；填补与标准化在训练集或各训练折内完成。输出为连续回归选型结果、缺失鲁棒性曲线、250×50相对等级表和风格画像汇总。主要计算量来自随机森林与梯度提升的逐维训练，通过按感官维度并行执行降低运行时间。求解步骤见表6。</w:t>
      </w:r>
    </w:p>
    <w:p>
      <w:pPr>
        <w:keepNext/>
        <w:spacing w:before="100" w:after="60"/>
        <w:jc w:val="center"/>
      </w:pPr>
      <w:r>
        <w:rPr>
          <w:rFonts w:ascii="Times New Roman" w:hAnsi="Times New Roman" w:eastAsia="黑体"/>
          <w:b/>
          <w:sz w:val="18"/>
        </w:rPr>
        <w:t>表6  问题一的求解算法</w:t>
      </w:r>
    </w:p>
    <w:tbl>
      <w:tblPr>
        <w:tblW w:type="auto" w:w="0"/>
        <w:jc w:val="center"/>
        <w:tblLayout w:type="fixed"/>
        <w:tblLook w:firstColumn="1" w:firstRow="1" w:lastColumn="0" w:lastRow="0" w:noHBand="0" w:noVBand="1" w:val="04A0"/>
      </w:tblPr>
      <w:tblGrid>
        <w:gridCol w:w="4649"/>
        <w:gridCol w:w="4649"/>
      </w:tblGrid>
      <w:tr>
        <w:trPr>
          <w:tblHeader/>
          <w:cantSplit/>
        </w:trPr>
        <w:tc>
          <w:tcPr>
            <w:tcW w:type="dxa" w:w="794"/>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7"/>
              </w:rPr>
              <w:t>步骤</w:t>
            </w:r>
          </w:p>
        </w:tc>
        <w:tc>
          <w:tcPr>
            <w:tcW w:type="dxa" w:w="7370"/>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7"/>
              </w:rPr>
              <w:t>计算内容</w:t>
            </w:r>
          </w:p>
        </w:tc>
      </w:tr>
      <w:tr>
        <w:trPr>
          <w:cantSplit/>
        </w:trPr>
        <w:tc>
          <w:tcPr>
            <w:tcW w:type="dxa" w:w="794"/>
            <w:vAlign w:val="center"/>
            <w:tcBorders>
              <w:top w:val="nil"/>
              <w:bottom w:val="nil"/>
              <w:left w:val="nil"/>
              <w:right w:val="nil"/>
            </w:tcBorders>
          </w:tcPr>
          <w:p>
            <w:pPr>
              <w:keepNext/>
              <w:spacing w:after="20"/>
              <w:jc w:val="center"/>
            </w:pPr>
            <w:r/>
            <w:r>
              <w:rPr>
                <w:rFonts w:ascii="Times New Roman" w:hAnsi="Times New Roman" w:eastAsia="宋体"/>
                <w:b w:val="0"/>
                <w:sz w:val="17"/>
              </w:rPr>
              <w:t>1</w:t>
            </w:r>
          </w:p>
        </w:tc>
        <w:tc>
          <w:tcPr>
            <w:tcW w:type="dxa" w:w="7370"/>
            <w:vAlign w:val="center"/>
            <w:tcBorders>
              <w:top w:val="nil"/>
              <w:bottom w:val="nil"/>
              <w:left w:val="nil"/>
              <w:right w:val="nil"/>
            </w:tcBorders>
          </w:tcPr>
          <w:p>
            <w:pPr>
              <w:keepNext/>
              <w:spacing w:after="20"/>
              <w:jc w:val="left"/>
            </w:pPr>
            <w:r/>
            <w:r>
              <w:rPr>
                <w:rFonts w:ascii="Times New Roman" w:hAnsi="Times New Roman" w:eastAsia="宋体"/>
                <w:b w:val="0"/>
                <w:sz w:val="17"/>
              </w:rPr>
              <w:t>读取统一预处理结果，按样本编号对齐化学测量、感官指标和风格标签。</w:t>
            </w:r>
          </w:p>
        </w:tc>
      </w:tr>
      <w:tr>
        <w:trPr>
          <w:cantSplit/>
        </w:trPr>
        <w:tc>
          <w:tcPr>
            <w:tcW w:type="dxa" w:w="794"/>
            <w:vAlign w:val="center"/>
            <w:tcBorders>
              <w:top w:val="nil"/>
              <w:bottom w:val="nil"/>
              <w:left w:val="nil"/>
              <w:right w:val="nil"/>
            </w:tcBorders>
          </w:tcPr>
          <w:p>
            <w:pPr>
              <w:keepNext/>
              <w:spacing w:after="20"/>
              <w:jc w:val="center"/>
            </w:pPr>
            <w:r/>
            <w:r>
              <w:rPr>
                <w:rFonts w:ascii="Times New Roman" w:hAnsi="Times New Roman" w:eastAsia="宋体"/>
                <w:b w:val="0"/>
                <w:sz w:val="17"/>
              </w:rPr>
              <w:t>2</w:t>
            </w:r>
          </w:p>
        </w:tc>
        <w:tc>
          <w:tcPr>
            <w:tcW w:type="dxa" w:w="7370"/>
            <w:vAlign w:val="center"/>
            <w:tcBorders>
              <w:top w:val="nil"/>
              <w:bottom w:val="nil"/>
              <w:left w:val="nil"/>
              <w:right w:val="nil"/>
            </w:tcBorders>
          </w:tcPr>
          <w:p>
            <w:pPr>
              <w:keepNext/>
              <w:spacing w:after="20"/>
              <w:jc w:val="left"/>
            </w:pPr>
            <w:r/>
            <w:r>
              <w:rPr>
                <w:rFonts w:ascii="Times New Roman" w:hAnsi="Times New Roman" w:eastAsia="宋体"/>
                <w:b w:val="0"/>
                <w:sz w:val="17"/>
              </w:rPr>
              <w:t>按风格分层得到175款训练样本与75款测试样本，仅用训练集估计标准化参数。</w:t>
            </w:r>
          </w:p>
        </w:tc>
      </w:tr>
      <w:tr>
        <w:trPr>
          <w:cantSplit/>
        </w:trPr>
        <w:tc>
          <w:tcPr>
            <w:tcW w:type="dxa" w:w="794"/>
            <w:vAlign w:val="center"/>
            <w:tcBorders>
              <w:top w:val="nil"/>
              <w:bottom w:val="nil"/>
              <w:left w:val="nil"/>
              <w:right w:val="nil"/>
            </w:tcBorders>
          </w:tcPr>
          <w:p>
            <w:pPr>
              <w:keepNext/>
              <w:spacing w:after="20"/>
              <w:jc w:val="center"/>
            </w:pPr>
            <w:r/>
            <w:r>
              <w:rPr>
                <w:rFonts w:ascii="Times New Roman" w:hAnsi="Times New Roman" w:eastAsia="宋体"/>
                <w:b w:val="0"/>
                <w:sz w:val="17"/>
              </w:rPr>
              <w:t>3</w:t>
            </w:r>
          </w:p>
        </w:tc>
        <w:tc>
          <w:tcPr>
            <w:tcW w:type="dxa" w:w="7370"/>
            <w:vAlign w:val="center"/>
            <w:tcBorders>
              <w:top w:val="nil"/>
              <w:bottom w:val="nil"/>
              <w:left w:val="nil"/>
              <w:right w:val="nil"/>
            </w:tcBorders>
          </w:tcPr>
          <w:p>
            <w:pPr>
              <w:keepNext/>
              <w:spacing w:after="20"/>
              <w:jc w:val="left"/>
            </w:pPr>
            <w:r/>
            <w:r>
              <w:rPr>
                <w:rFonts w:ascii="Times New Roman" w:hAnsi="Times New Roman" w:eastAsia="宋体"/>
                <w:b w:val="0"/>
                <w:sz w:val="17"/>
              </w:rPr>
              <w:t>在训练集内完成参数选择，计算五折交叉验证的折外预测；以平均决定系数选择连续回归模型。</w:t>
            </w:r>
          </w:p>
        </w:tc>
      </w:tr>
      <w:tr>
        <w:trPr>
          <w:cantSplit/>
        </w:trPr>
        <w:tc>
          <w:tcPr>
            <w:tcW w:type="dxa" w:w="794"/>
            <w:vAlign w:val="center"/>
            <w:tcBorders>
              <w:top w:val="nil"/>
              <w:bottom w:val="nil"/>
              <w:left w:val="nil"/>
              <w:right w:val="nil"/>
            </w:tcBorders>
          </w:tcPr>
          <w:p>
            <w:pPr>
              <w:keepNext/>
              <w:spacing w:after="20"/>
              <w:jc w:val="center"/>
            </w:pPr>
            <w:r/>
            <w:r>
              <w:rPr>
                <w:rFonts w:ascii="Times New Roman" w:hAnsi="Times New Roman" w:eastAsia="宋体"/>
                <w:b w:val="0"/>
                <w:sz w:val="17"/>
              </w:rPr>
              <w:t>4</w:t>
            </w:r>
          </w:p>
        </w:tc>
        <w:tc>
          <w:tcPr>
            <w:tcW w:type="dxa" w:w="7370"/>
            <w:vAlign w:val="center"/>
            <w:tcBorders>
              <w:top w:val="nil"/>
              <w:bottom w:val="nil"/>
              <w:left w:val="nil"/>
              <w:right w:val="nil"/>
            </w:tcBorders>
          </w:tcPr>
          <w:p>
            <w:pPr>
              <w:keepNext/>
              <w:spacing w:after="20"/>
              <w:jc w:val="left"/>
            </w:pPr>
            <w:r/>
            <w:r>
              <w:rPr>
                <w:rFonts w:ascii="Times New Roman" w:hAnsi="Times New Roman" w:eastAsia="宋体"/>
                <w:b w:val="0"/>
                <w:sz w:val="17"/>
              </w:rPr>
              <w:t>在测试集上计算逐维决定系数、秩相关和误差，比较不同模型及其维度差异。</w:t>
            </w:r>
          </w:p>
        </w:tc>
      </w:tr>
      <w:tr>
        <w:trPr>
          <w:cantSplit/>
        </w:trPr>
        <w:tc>
          <w:tcPr>
            <w:tcW w:type="dxa" w:w="794"/>
            <w:vAlign w:val="center"/>
            <w:tcBorders>
              <w:top w:val="nil"/>
              <w:bottom w:val="nil"/>
              <w:left w:val="nil"/>
              <w:right w:val="nil"/>
            </w:tcBorders>
          </w:tcPr>
          <w:p>
            <w:pPr>
              <w:keepNext/>
              <w:spacing w:after="20"/>
              <w:jc w:val="center"/>
            </w:pPr>
            <w:r/>
            <w:r>
              <w:rPr>
                <w:rFonts w:ascii="Times New Roman" w:hAnsi="Times New Roman" w:eastAsia="宋体"/>
                <w:b w:val="0"/>
                <w:sz w:val="17"/>
              </w:rPr>
              <w:t>5</w:t>
            </w:r>
          </w:p>
        </w:tc>
        <w:tc>
          <w:tcPr>
            <w:tcW w:type="dxa" w:w="7370"/>
            <w:vAlign w:val="center"/>
            <w:tcBorders>
              <w:top w:val="nil"/>
              <w:bottom w:val="nil"/>
              <w:left w:val="nil"/>
              <w:right w:val="nil"/>
            </w:tcBorders>
          </w:tcPr>
          <w:p>
            <w:pPr>
              <w:keepNext/>
              <w:spacing w:after="20"/>
              <w:jc w:val="left"/>
            </w:pPr>
            <w:r/>
            <w:r>
              <w:rPr>
                <w:rFonts w:ascii="Times New Roman" w:hAnsi="Times New Roman" w:eastAsia="宋体"/>
                <w:b w:val="0"/>
                <w:sz w:val="17"/>
              </w:rPr>
              <w:t>依次设置0%、5%、10%、20%、30%遮掩比例；非零比例重复3个随机种子，比较两套缺失处理方案。</w:t>
            </w:r>
          </w:p>
        </w:tc>
      </w:tr>
      <w:tr>
        <w:trPr>
          <w:cantSplit/>
        </w:trPr>
        <w:tc>
          <w:tcPr>
            <w:tcW w:type="dxa" w:w="794"/>
            <w:vAlign w:val="center"/>
            <w:tcBorders>
              <w:top w:val="nil"/>
              <w:bottom w:val="nil"/>
              <w:left w:val="nil"/>
              <w:right w:val="nil"/>
            </w:tcBorders>
          </w:tcPr>
          <w:p>
            <w:pPr>
              <w:keepNext/>
              <w:spacing w:after="20"/>
              <w:jc w:val="center"/>
            </w:pPr>
            <w:r/>
            <w:r>
              <w:rPr>
                <w:rFonts w:ascii="Times New Roman" w:hAnsi="Times New Roman" w:eastAsia="宋体"/>
                <w:b w:val="0"/>
                <w:sz w:val="17"/>
              </w:rPr>
              <w:t>6</w:t>
            </w:r>
          </w:p>
        </w:tc>
        <w:tc>
          <w:tcPr>
            <w:tcW w:type="dxa" w:w="7370"/>
            <w:vAlign w:val="center"/>
            <w:tcBorders>
              <w:top w:val="nil"/>
              <w:bottom w:val="nil"/>
              <w:left w:val="nil"/>
              <w:right w:val="nil"/>
            </w:tcBorders>
          </w:tcPr>
          <w:p>
            <w:pPr>
              <w:keepNext/>
              <w:spacing w:after="20"/>
              <w:jc w:val="left"/>
            </w:pPr>
            <w:r/>
            <w:r>
              <w:rPr>
                <w:rFonts w:ascii="Times New Roman" w:hAnsi="Times New Roman" w:eastAsia="宋体"/>
                <w:b w:val="0"/>
                <w:sz w:val="17"/>
              </w:rPr>
              <w:t>在训练集内部用五折交叉验证比较回归后标定与直接多分类两条路线，以折内二次加权Kappa系数择优；测试集仅用于报告。</w:t>
            </w:r>
          </w:p>
        </w:tc>
      </w:tr>
      <w:tr>
        <w:trPr>
          <w:cantSplit/>
        </w:trPr>
        <w:tc>
          <w:tcPr>
            <w:tcW w:type="dxa" w:w="794"/>
            <w:vAlign w:val="center"/>
            <w:tcBorders>
              <w:top w:val="nil"/>
              <w:bottom w:val="nil"/>
              <w:left w:val="nil"/>
              <w:right w:val="nil"/>
            </w:tcBorders>
          </w:tcPr>
          <w:p>
            <w:pPr>
              <w:keepNext/>
              <w:spacing w:after="20"/>
              <w:jc w:val="center"/>
            </w:pPr>
            <w:r/>
            <w:r>
              <w:rPr>
                <w:rFonts w:ascii="Times New Roman" w:hAnsi="Times New Roman" w:eastAsia="宋体"/>
                <w:b w:val="0"/>
                <w:sz w:val="17"/>
              </w:rPr>
              <w:t>7</w:t>
            </w:r>
          </w:p>
        </w:tc>
        <w:tc>
          <w:tcPr>
            <w:tcW w:type="dxa" w:w="7370"/>
            <w:vAlign w:val="center"/>
            <w:tcBorders>
              <w:top w:val="nil"/>
              <w:bottom w:val="nil"/>
              <w:left w:val="nil"/>
              <w:right w:val="nil"/>
            </w:tcBorders>
          </w:tcPr>
          <w:p>
            <w:pPr>
              <w:keepNext/>
              <w:spacing w:after="20"/>
              <w:jc w:val="left"/>
            </w:pPr>
            <w:r/>
            <w:r>
              <w:rPr>
                <w:rFonts w:ascii="Times New Roman" w:hAnsi="Times New Roman" w:eastAsia="宋体"/>
                <w:b w:val="0"/>
                <w:sz w:val="17"/>
              </w:rPr>
              <w:t>评价完成后，以全部250款样本重训最终模型，重新估计分位边界并生成250×50相对等级表。</w:t>
            </w:r>
          </w:p>
        </w:tc>
      </w:tr>
      <w:tr>
        <w:trPr>
          <w:cantSplit/>
        </w:trPr>
        <w:tc>
          <w:tcPr>
            <w:tcW w:type="dxa" w:w="794"/>
            <w:vAlign w:val="center"/>
            <w:tcBorders>
              <w:top w:val="nil"/>
              <w:bottom w:val="single" w:sz="12" w:color="000000"/>
              <w:left w:val="nil"/>
              <w:right w:val="nil"/>
            </w:tcBorders>
          </w:tcPr>
          <w:p>
            <w:pPr>
              <w:spacing w:after="20"/>
              <w:jc w:val="center"/>
            </w:pPr>
            <w:r/>
            <w:r>
              <w:rPr>
                <w:rFonts w:ascii="Times New Roman" w:hAnsi="Times New Roman" w:eastAsia="宋体"/>
                <w:b w:val="0"/>
                <w:sz w:val="17"/>
              </w:rPr>
              <w:t>8</w:t>
            </w:r>
          </w:p>
        </w:tc>
        <w:tc>
          <w:tcPr>
            <w:tcW w:type="dxa" w:w="7370"/>
            <w:vAlign w:val="center"/>
            <w:tcBorders>
              <w:top w:val="nil"/>
              <w:bottom w:val="single" w:sz="12" w:color="000000"/>
              <w:left w:val="nil"/>
              <w:right w:val="nil"/>
            </w:tcBorders>
          </w:tcPr>
          <w:p>
            <w:pPr>
              <w:spacing w:after="20"/>
              <w:jc w:val="left"/>
            </w:pPr>
            <w:r/>
            <w:r>
              <w:rPr>
                <w:rFonts w:ascii="Times New Roman" w:hAnsi="Times New Roman" w:eastAsia="宋体"/>
                <w:b w:val="0"/>
                <w:sz w:val="17"/>
              </w:rPr>
              <w:t>按22种风格汇总等级均值，进行描述性画像检查，并输出完整结果表。</w:t>
            </w:r>
          </w:p>
        </w:tc>
      </w:tr>
    </w:tbl>
    <w:p>
      <w:pPr>
        <w:spacing w:before="0" w:after="0" w:line="240" w:lineRule="auto"/>
      </w:pPr>
      <w:r>
        <w:rPr>
          <w:sz w:val="12"/>
        </w:rPr>
        <w:t xml:space="preserve"> </w:t>
      </w:r>
    </w:p>
    <w:p>
      <w:pPr>
        <w:spacing w:line="312" w:lineRule="auto" w:after="60"/>
        <w:ind w:firstLine="420"/>
      </w:pPr>
      <w:r>
        <w:rPr>
          <w:rFonts w:ascii="Times New Roman" w:hAnsi="Times New Roman" w:eastAsia="宋体"/>
          <w:b w:val="0"/>
          <w:sz w:val="21"/>
        </w:rPr>
        <w:t>实验在Python环境下使用numpy与scikit-learn实现。数据划分、交叉验证和模型训练的随机种子设为0，非零遮掩比例下使用0、1、2三个随机种子；训练集划分、交叉验证和遮掩过程均可由此复现。全部结果由本队代码对赛题附件独立运行得到。</w:t>
      </w:r>
    </w:p>
    <w:p>
      <w:pPr>
        <w:keepNext/>
        <w:spacing w:before="200" w:after="120"/>
      </w:pPr>
      <w:r>
        <w:rPr>
          <w:rFonts w:ascii="Times New Roman" w:hAnsi="Times New Roman" w:eastAsia="黑体"/>
          <w:b/>
          <w:sz w:val="26"/>
        </w:rPr>
        <w:t>5.7  结果与分析</w:t>
      </w:r>
    </w:p>
    <w:p>
      <w:pPr>
        <w:keepNext/>
        <w:spacing w:before="140" w:after="80"/>
      </w:pPr>
      <w:r>
        <w:rPr>
          <w:rFonts w:ascii="Times New Roman" w:hAnsi="Times New Roman" w:eastAsia="黑体"/>
          <w:b/>
          <w:sz w:val="22"/>
        </w:rPr>
        <w:t>5.7.1  连续回归模型选型</w:t>
      </w:r>
    </w:p>
    <w:p>
      <w:pPr>
        <w:keepNext/>
        <w:spacing w:before="100" w:after="60"/>
        <w:jc w:val="center"/>
      </w:pPr>
      <w:r>
        <w:rPr>
          <w:rFonts w:ascii="Times New Roman" w:hAnsi="Times New Roman" w:eastAsia="黑体"/>
          <w:b/>
          <w:sz w:val="18"/>
        </w:rPr>
        <w:t>表7  连续回归模型的交叉验证与测试集结果</w:t>
      </w:r>
    </w:p>
    <w:tbl>
      <w:tblPr>
        <w:tblW w:type="auto" w:w="0"/>
        <w:jc w:val="center"/>
        <w:tblLayout w:type="fixed"/>
        <w:tblLook w:firstColumn="1" w:firstRow="1" w:lastColumn="0" w:lastRow="0" w:noHBand="0" w:noVBand="1" w:val="04A0"/>
      </w:tblPr>
      <w:tblGrid>
        <w:gridCol w:w="1550"/>
        <w:gridCol w:w="1550"/>
        <w:gridCol w:w="1550"/>
        <w:gridCol w:w="1550"/>
        <w:gridCol w:w="1550"/>
        <w:gridCol w:w="1550"/>
      </w:tblGrid>
      <w:tr>
        <w:trPr>
          <w:tblHeader/>
        </w:trPr>
        <w:tc>
          <w:tcPr>
            <w:tcW w:type="dxa" w:w="2041"/>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模型</w:t>
            </w:r>
          </w:p>
        </w:tc>
        <w:tc>
          <w:tcPr>
            <w:tcW w:type="dxa" w:w="1417"/>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训练集折外预测R²</w:t>
            </w:r>
          </w:p>
        </w:tc>
        <w:tc>
          <w:tcPr>
            <w:tcW w:type="dxa" w:w="1247"/>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测试集平均R²</w:t>
            </w:r>
          </w:p>
        </w:tc>
        <w:tc>
          <w:tcPr>
            <w:tcW w:type="dxa" w:w="1361"/>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测试集R²中位数</w:t>
            </w:r>
          </w:p>
        </w:tc>
        <w:tc>
          <w:tcPr>
            <w:tcW w:type="dxa" w:w="1134"/>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R²&gt;0的维度数</w:t>
            </w:r>
          </w:p>
        </w:tc>
        <w:tc>
          <w:tcPr>
            <w:tcW w:type="dxa" w:w="1020"/>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平均秩相关</w:t>
            </w:r>
          </w:p>
        </w:tc>
      </w:tr>
      <w:tr>
        <w:tc>
          <w:tcPr>
            <w:tcW w:type="dxa" w:w="2041"/>
            <w:vAlign w:val="center"/>
            <w:tcBorders>
              <w:top w:val="nil"/>
              <w:bottom w:val="nil"/>
              <w:left w:val="nil"/>
              <w:right w:val="nil"/>
            </w:tcBorders>
          </w:tcPr>
          <w:p>
            <w:pPr>
              <w:spacing w:after="20"/>
              <w:jc w:val="center"/>
            </w:pPr>
            <w:r/>
            <w:r>
              <w:rPr>
                <w:rFonts w:ascii="Times New Roman" w:hAnsi="Times New Roman" w:eastAsia="宋体"/>
                <w:b w:val="0"/>
                <w:sz w:val="15"/>
              </w:rPr>
              <w:t>随机森林</w:t>
            </w:r>
          </w:p>
        </w:tc>
        <w:tc>
          <w:tcPr>
            <w:tcW w:type="dxa" w:w="1417"/>
            <w:vAlign w:val="center"/>
            <w:tcBorders>
              <w:top w:val="nil"/>
              <w:bottom w:val="nil"/>
              <w:left w:val="nil"/>
              <w:right w:val="nil"/>
            </w:tcBorders>
          </w:tcPr>
          <w:p>
            <w:pPr>
              <w:spacing w:after="20"/>
              <w:jc w:val="center"/>
            </w:pPr>
            <w:r/>
            <w:r>
              <w:rPr>
                <w:rFonts w:ascii="Times New Roman" w:hAnsi="Times New Roman" w:eastAsia="宋体"/>
                <w:b w:val="0"/>
                <w:sz w:val="15"/>
              </w:rPr>
              <w:t>0.225</w:t>
            </w:r>
          </w:p>
        </w:tc>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5"/>
              </w:rPr>
              <w:t>0.218</w:t>
            </w:r>
          </w:p>
        </w:tc>
        <w:tc>
          <w:tcPr>
            <w:tcW w:type="dxa" w:w="1361"/>
            <w:vAlign w:val="center"/>
            <w:tcBorders>
              <w:top w:val="nil"/>
              <w:bottom w:val="nil"/>
              <w:left w:val="nil"/>
              <w:right w:val="nil"/>
            </w:tcBorders>
          </w:tcPr>
          <w:p>
            <w:pPr>
              <w:spacing w:after="20"/>
              <w:jc w:val="center"/>
            </w:pPr>
            <w:r/>
            <w:r>
              <w:rPr>
                <w:rFonts w:ascii="Times New Roman" w:hAnsi="Times New Roman" w:eastAsia="宋体"/>
                <w:b w:val="0"/>
                <w:sz w:val="15"/>
              </w:rPr>
              <w:t>0.176</w:t>
            </w:r>
          </w:p>
        </w:tc>
        <w:tc>
          <w:tcPr>
            <w:tcW w:type="dxa" w:w="1134"/>
            <w:vAlign w:val="center"/>
            <w:tcBorders>
              <w:top w:val="nil"/>
              <w:bottom w:val="nil"/>
              <w:left w:val="nil"/>
              <w:right w:val="nil"/>
            </w:tcBorders>
          </w:tcPr>
          <w:p>
            <w:pPr>
              <w:spacing w:after="20"/>
              <w:jc w:val="center"/>
            </w:pPr>
            <w:r/>
            <w:r>
              <w:rPr>
                <w:rFonts w:ascii="Times New Roman" w:hAnsi="Times New Roman" w:eastAsia="宋体"/>
                <w:b w:val="0"/>
                <w:sz w:val="15"/>
              </w:rPr>
              <w:t>43/50</w:t>
            </w:r>
          </w:p>
        </w:tc>
        <w:tc>
          <w:tcPr>
            <w:tcW w:type="dxa" w:w="1020"/>
            <w:vAlign w:val="center"/>
            <w:tcBorders>
              <w:top w:val="nil"/>
              <w:bottom w:val="nil"/>
              <w:left w:val="nil"/>
              <w:right w:val="nil"/>
            </w:tcBorders>
          </w:tcPr>
          <w:p>
            <w:pPr>
              <w:spacing w:after="20"/>
              <w:jc w:val="center"/>
            </w:pPr>
            <w:r/>
            <w:r>
              <w:rPr>
                <w:rFonts w:ascii="Times New Roman" w:hAnsi="Times New Roman" w:eastAsia="宋体"/>
                <w:b w:val="0"/>
                <w:sz w:val="15"/>
              </w:rPr>
              <w:t>0.407</w:t>
            </w:r>
          </w:p>
        </w:tc>
      </w:tr>
      <w:tr>
        <w:tc>
          <w:tcPr>
            <w:tcW w:type="dxa" w:w="2041"/>
            <w:vAlign w:val="center"/>
            <w:tcBorders>
              <w:top w:val="nil"/>
              <w:bottom w:val="nil"/>
              <w:left w:val="nil"/>
              <w:right w:val="nil"/>
            </w:tcBorders>
          </w:tcPr>
          <w:p>
            <w:pPr>
              <w:spacing w:after="20"/>
              <w:jc w:val="center"/>
            </w:pPr>
            <w:r/>
            <w:r>
              <w:rPr>
                <w:rFonts w:ascii="Times New Roman" w:hAnsi="Times New Roman" w:eastAsia="宋体"/>
                <w:b w:val="0"/>
                <w:sz w:val="15"/>
              </w:rPr>
              <w:t>岭回归</w:t>
            </w:r>
          </w:p>
        </w:tc>
        <w:tc>
          <w:tcPr>
            <w:tcW w:type="dxa" w:w="1417"/>
            <w:vAlign w:val="center"/>
            <w:tcBorders>
              <w:top w:val="nil"/>
              <w:bottom w:val="nil"/>
              <w:left w:val="nil"/>
              <w:right w:val="nil"/>
            </w:tcBorders>
          </w:tcPr>
          <w:p>
            <w:pPr>
              <w:spacing w:after="20"/>
              <w:jc w:val="center"/>
            </w:pPr>
            <w:r/>
            <w:r>
              <w:rPr>
                <w:rFonts w:ascii="Times New Roman" w:hAnsi="Times New Roman" w:eastAsia="宋体"/>
                <w:b w:val="0"/>
                <w:sz w:val="15"/>
              </w:rPr>
              <w:t>0.165</w:t>
            </w:r>
          </w:p>
        </w:tc>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5"/>
              </w:rPr>
              <w:t>0.172</w:t>
            </w:r>
          </w:p>
        </w:tc>
        <w:tc>
          <w:tcPr>
            <w:tcW w:type="dxa" w:w="1361"/>
            <w:vAlign w:val="center"/>
            <w:tcBorders>
              <w:top w:val="nil"/>
              <w:bottom w:val="nil"/>
              <w:left w:val="nil"/>
              <w:right w:val="nil"/>
            </w:tcBorders>
          </w:tcPr>
          <w:p>
            <w:pPr>
              <w:spacing w:after="20"/>
              <w:jc w:val="center"/>
            </w:pPr>
            <w:r/>
            <w:r>
              <w:rPr>
                <w:rFonts w:ascii="Times New Roman" w:hAnsi="Times New Roman" w:eastAsia="宋体"/>
                <w:b w:val="0"/>
                <w:sz w:val="15"/>
              </w:rPr>
              <w:t>0.134</w:t>
            </w:r>
          </w:p>
        </w:tc>
        <w:tc>
          <w:tcPr>
            <w:tcW w:type="dxa" w:w="1134"/>
            <w:vAlign w:val="center"/>
            <w:tcBorders>
              <w:top w:val="nil"/>
              <w:bottom w:val="nil"/>
              <w:left w:val="nil"/>
              <w:right w:val="nil"/>
            </w:tcBorders>
          </w:tcPr>
          <w:p>
            <w:pPr>
              <w:spacing w:after="20"/>
              <w:jc w:val="center"/>
            </w:pPr>
            <w:r/>
            <w:r>
              <w:rPr>
                <w:rFonts w:ascii="Times New Roman" w:hAnsi="Times New Roman" w:eastAsia="宋体"/>
                <w:b w:val="0"/>
                <w:sz w:val="15"/>
              </w:rPr>
              <w:t>45/50</w:t>
            </w:r>
          </w:p>
        </w:tc>
        <w:tc>
          <w:tcPr>
            <w:tcW w:type="dxa" w:w="1020"/>
            <w:vAlign w:val="center"/>
            <w:tcBorders>
              <w:top w:val="nil"/>
              <w:bottom w:val="nil"/>
              <w:left w:val="nil"/>
              <w:right w:val="nil"/>
            </w:tcBorders>
          </w:tcPr>
          <w:p>
            <w:pPr>
              <w:spacing w:after="20"/>
              <w:jc w:val="center"/>
            </w:pPr>
            <w:r/>
            <w:r>
              <w:rPr>
                <w:rFonts w:ascii="Times New Roman" w:hAnsi="Times New Roman" w:eastAsia="宋体"/>
                <w:b w:val="0"/>
                <w:sz w:val="15"/>
              </w:rPr>
              <w:t>0.394</w:t>
            </w:r>
          </w:p>
        </w:tc>
      </w:tr>
      <w:tr>
        <w:tc>
          <w:tcPr>
            <w:tcW w:type="dxa" w:w="2041"/>
            <w:vAlign w:val="center"/>
            <w:tcBorders>
              <w:top w:val="nil"/>
              <w:bottom w:val="nil"/>
              <w:left w:val="nil"/>
              <w:right w:val="nil"/>
            </w:tcBorders>
          </w:tcPr>
          <w:p>
            <w:pPr>
              <w:spacing w:after="20"/>
              <w:jc w:val="center"/>
            </w:pPr>
            <w:r/>
            <w:r>
              <w:rPr>
                <w:rFonts w:ascii="Times New Roman" w:hAnsi="Times New Roman" w:eastAsia="宋体"/>
                <w:b w:val="0"/>
                <w:sz w:val="15"/>
              </w:rPr>
              <w:t>梯度提升回归</w:t>
            </w:r>
          </w:p>
        </w:tc>
        <w:tc>
          <w:tcPr>
            <w:tcW w:type="dxa" w:w="1417"/>
            <w:vAlign w:val="center"/>
            <w:tcBorders>
              <w:top w:val="nil"/>
              <w:bottom w:val="nil"/>
              <w:left w:val="nil"/>
              <w:right w:val="nil"/>
            </w:tcBorders>
          </w:tcPr>
          <w:p>
            <w:pPr>
              <w:spacing w:after="20"/>
              <w:jc w:val="center"/>
            </w:pPr>
            <w:r/>
            <w:r>
              <w:rPr>
                <w:rFonts w:ascii="Times New Roman" w:hAnsi="Times New Roman" w:eastAsia="宋体"/>
                <w:b w:val="0"/>
                <w:sz w:val="15"/>
              </w:rPr>
              <w:t>0.160</w:t>
            </w:r>
          </w:p>
        </w:tc>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5"/>
              </w:rPr>
              <w:t>0.160</w:t>
            </w:r>
          </w:p>
        </w:tc>
        <w:tc>
          <w:tcPr>
            <w:tcW w:type="dxa" w:w="1361"/>
            <w:vAlign w:val="center"/>
            <w:tcBorders>
              <w:top w:val="nil"/>
              <w:bottom w:val="nil"/>
              <w:left w:val="nil"/>
              <w:right w:val="nil"/>
            </w:tcBorders>
          </w:tcPr>
          <w:p>
            <w:pPr>
              <w:spacing w:after="20"/>
              <w:jc w:val="center"/>
            </w:pPr>
            <w:r/>
            <w:r>
              <w:rPr>
                <w:rFonts w:ascii="Times New Roman" w:hAnsi="Times New Roman" w:eastAsia="宋体"/>
                <w:b w:val="0"/>
                <w:sz w:val="15"/>
              </w:rPr>
              <w:t>0.093</w:t>
            </w:r>
          </w:p>
        </w:tc>
        <w:tc>
          <w:tcPr>
            <w:tcW w:type="dxa" w:w="1134"/>
            <w:vAlign w:val="center"/>
            <w:tcBorders>
              <w:top w:val="nil"/>
              <w:bottom w:val="nil"/>
              <w:left w:val="nil"/>
              <w:right w:val="nil"/>
            </w:tcBorders>
          </w:tcPr>
          <w:p>
            <w:pPr>
              <w:spacing w:after="20"/>
              <w:jc w:val="center"/>
            </w:pPr>
            <w:r/>
            <w:r>
              <w:rPr>
                <w:rFonts w:ascii="Times New Roman" w:hAnsi="Times New Roman" w:eastAsia="宋体"/>
                <w:b w:val="0"/>
                <w:sz w:val="15"/>
              </w:rPr>
              <w:t>34/50</w:t>
            </w:r>
          </w:p>
        </w:tc>
        <w:tc>
          <w:tcPr>
            <w:tcW w:type="dxa" w:w="1020"/>
            <w:vAlign w:val="center"/>
            <w:tcBorders>
              <w:top w:val="nil"/>
              <w:bottom w:val="nil"/>
              <w:left w:val="nil"/>
              <w:right w:val="nil"/>
            </w:tcBorders>
          </w:tcPr>
          <w:p>
            <w:pPr>
              <w:spacing w:after="20"/>
              <w:jc w:val="center"/>
            </w:pPr>
            <w:r/>
            <w:r>
              <w:rPr>
                <w:rFonts w:ascii="Times New Roman" w:hAnsi="Times New Roman" w:eastAsia="宋体"/>
                <w:b w:val="0"/>
                <w:sz w:val="15"/>
              </w:rPr>
              <w:t>0.403</w:t>
            </w:r>
          </w:p>
        </w:tc>
      </w:tr>
      <w:tr>
        <w:tc>
          <w:tcPr>
            <w:tcW w:type="dxa" w:w="2041"/>
            <w:vAlign w:val="center"/>
            <w:tcBorders>
              <w:top w:val="nil"/>
              <w:bottom w:val="nil"/>
              <w:left w:val="nil"/>
              <w:right w:val="nil"/>
            </w:tcBorders>
          </w:tcPr>
          <w:p>
            <w:pPr>
              <w:spacing w:after="20"/>
              <w:jc w:val="center"/>
            </w:pPr>
            <w:r/>
            <w:r>
              <w:rPr>
                <w:rFonts w:ascii="Times New Roman" w:hAnsi="Times New Roman" w:eastAsia="宋体"/>
                <w:b w:val="0"/>
                <w:sz w:val="15"/>
              </w:rPr>
              <w:t>偏最小二乘回归</w:t>
            </w:r>
          </w:p>
        </w:tc>
        <w:tc>
          <w:tcPr>
            <w:tcW w:type="dxa" w:w="1417"/>
            <w:vAlign w:val="center"/>
            <w:tcBorders>
              <w:top w:val="nil"/>
              <w:bottom w:val="nil"/>
              <w:left w:val="nil"/>
              <w:right w:val="nil"/>
            </w:tcBorders>
          </w:tcPr>
          <w:p>
            <w:pPr>
              <w:spacing w:after="20"/>
              <w:jc w:val="center"/>
            </w:pPr>
            <w:r/>
            <w:r>
              <w:rPr>
                <w:rFonts w:ascii="Times New Roman" w:hAnsi="Times New Roman" w:eastAsia="宋体"/>
                <w:b w:val="0"/>
                <w:sz w:val="15"/>
              </w:rPr>
              <w:t>0.147</w:t>
            </w:r>
          </w:p>
        </w:tc>
        <w:tc>
          <w:tcPr>
            <w:tcW w:type="dxa" w:w="1247"/>
            <w:vAlign w:val="center"/>
            <w:tcBorders>
              <w:top w:val="nil"/>
              <w:bottom w:val="nil"/>
              <w:left w:val="nil"/>
              <w:right w:val="nil"/>
            </w:tcBorders>
          </w:tcPr>
          <w:p>
            <w:pPr>
              <w:spacing w:after="20"/>
              <w:jc w:val="center"/>
            </w:pPr>
            <w:r/>
            <w:r>
              <w:rPr>
                <w:rFonts w:ascii="Times New Roman" w:hAnsi="Times New Roman" w:eastAsia="宋体"/>
                <w:b w:val="0"/>
                <w:sz w:val="15"/>
              </w:rPr>
              <w:t>0.151</w:t>
            </w:r>
          </w:p>
        </w:tc>
        <w:tc>
          <w:tcPr>
            <w:tcW w:type="dxa" w:w="1361"/>
            <w:vAlign w:val="center"/>
            <w:tcBorders>
              <w:top w:val="nil"/>
              <w:bottom w:val="nil"/>
              <w:left w:val="nil"/>
              <w:right w:val="nil"/>
            </w:tcBorders>
          </w:tcPr>
          <w:p>
            <w:pPr>
              <w:spacing w:after="20"/>
              <w:jc w:val="center"/>
            </w:pPr>
            <w:r/>
            <w:r>
              <w:rPr>
                <w:rFonts w:ascii="Times New Roman" w:hAnsi="Times New Roman" w:eastAsia="宋体"/>
                <w:b w:val="0"/>
                <w:sz w:val="15"/>
              </w:rPr>
              <w:t>0.093</w:t>
            </w:r>
          </w:p>
        </w:tc>
        <w:tc>
          <w:tcPr>
            <w:tcW w:type="dxa" w:w="1134"/>
            <w:vAlign w:val="center"/>
            <w:tcBorders>
              <w:top w:val="nil"/>
              <w:bottom w:val="nil"/>
              <w:left w:val="nil"/>
              <w:right w:val="nil"/>
            </w:tcBorders>
          </w:tcPr>
          <w:p>
            <w:pPr>
              <w:spacing w:after="20"/>
              <w:jc w:val="center"/>
            </w:pPr>
            <w:r/>
            <w:r>
              <w:rPr>
                <w:rFonts w:ascii="Times New Roman" w:hAnsi="Times New Roman" w:eastAsia="宋体"/>
                <w:b w:val="0"/>
                <w:sz w:val="15"/>
              </w:rPr>
              <w:t>40/50</w:t>
            </w:r>
          </w:p>
        </w:tc>
        <w:tc>
          <w:tcPr>
            <w:tcW w:type="dxa" w:w="1020"/>
            <w:vAlign w:val="center"/>
            <w:tcBorders>
              <w:top w:val="nil"/>
              <w:bottom w:val="nil"/>
              <w:left w:val="nil"/>
              <w:right w:val="nil"/>
            </w:tcBorders>
          </w:tcPr>
          <w:p>
            <w:pPr>
              <w:spacing w:after="20"/>
              <w:jc w:val="center"/>
            </w:pPr>
            <w:r/>
            <w:r>
              <w:rPr>
                <w:rFonts w:ascii="Times New Roman" w:hAnsi="Times New Roman" w:eastAsia="宋体"/>
                <w:b w:val="0"/>
                <w:sz w:val="15"/>
              </w:rPr>
              <w:t>0.355</w:t>
            </w:r>
          </w:p>
        </w:tc>
      </w:tr>
      <w:tr>
        <w:tc>
          <w:tcPr>
            <w:tcW w:type="dxa" w:w="2041"/>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直方图梯度提升回归</w:t>
            </w:r>
          </w:p>
        </w:tc>
        <w:tc>
          <w:tcPr>
            <w:tcW w:type="dxa" w:w="1417"/>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0.129</w:t>
            </w:r>
          </w:p>
        </w:tc>
        <w:tc>
          <w:tcPr>
            <w:tcW w:type="dxa" w:w="1247"/>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0.135</w:t>
            </w:r>
          </w:p>
        </w:tc>
        <w:tc>
          <w:tcPr>
            <w:tcW w:type="dxa" w:w="1361"/>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0.093</w:t>
            </w:r>
          </w:p>
        </w:tc>
        <w:tc>
          <w:tcPr>
            <w:tcW w:type="dxa" w:w="1134"/>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31/50</w:t>
            </w:r>
          </w:p>
        </w:tc>
        <w:tc>
          <w:tcPr>
            <w:tcW w:type="dxa" w:w="1020"/>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0.370</w:t>
            </w:r>
          </w:p>
        </w:tc>
      </w:tr>
    </w:tbl>
    <w:p>
      <w:pPr>
        <w:spacing w:before="0" w:after="0" w:line="240" w:lineRule="auto"/>
      </w:pPr>
      <w:r>
        <w:rPr>
          <w:sz w:val="12"/>
        </w:rPr>
        <w:t xml:space="preserve"> </w:t>
      </w:r>
    </w:p>
    <w:p>
      <w:pPr>
        <w:spacing w:after="80"/>
      </w:pPr>
      <w:r>
        <w:rPr>
          <w:rFonts w:ascii="Times New Roman" w:hAnsi="Times New Roman" w:eastAsia="宋体"/>
          <w:b w:val="0"/>
          <w:sz w:val="17"/>
        </w:rPr>
        <w:t>注：训练集折外预测R²由五折交叉验证的折外预测按样本拼接后，在训练集上计算得到，而非各折决定系数的简单平均。</w:t>
      </w:r>
    </w:p>
    <w:p>
      <w:pPr>
        <w:spacing w:line="312" w:lineRule="auto" w:after="60"/>
        <w:ind w:firstLine="420"/>
      </w:pPr>
      <w:r>
        <w:rPr>
          <w:rFonts w:ascii="Times New Roman" w:hAnsi="Times New Roman" w:eastAsia="宋体"/>
          <w:b w:val="0"/>
          <w:sz w:val="21"/>
        </w:rPr>
        <w:t>随机森林在训练集折外预测上的平均决定系数最高，为0.225，因此被选为连续预测模型。其测试集平均决定系数为0.218，中位数为0.176，50个感官维度中有43个维度的决定系数为正，平均秩相关为0.407。在当前实验设置下，随机森林的平均表现最佳，但不同模型在各感官维度上的优势并不一致。</w:t>
      </w:r>
    </w:p>
    <w:p>
      <w:pPr>
        <w:spacing w:after="40"/>
        <w:jc w:val="center"/>
      </w:pPr>
      <w:r>
        <w:drawing>
          <wp:inline xmlns:a="http://schemas.openxmlformats.org/drawingml/2006/main" xmlns:pic="http://schemas.openxmlformats.org/drawingml/2006/picture">
            <wp:extent cx="6217920" cy="2562462"/>
            <wp:docPr id="1" name="Picture 1"/>
            <wp:cNvGraphicFramePr>
              <a:graphicFrameLocks noChangeAspect="1"/>
            </wp:cNvGraphicFramePr>
            <a:graphic>
              <a:graphicData uri="http://schemas.openxmlformats.org/drawingml/2006/picture">
                <pic:pic>
                  <pic:nvPicPr>
                    <pic:cNvPr id="0" name="paper_regression.png"/>
                    <pic:cNvPicPr/>
                  </pic:nvPicPr>
                  <pic:blipFill>
                    <a:blip r:embed="rId10"/>
                    <a:stretch>
                      <a:fillRect/>
                    </a:stretch>
                  </pic:blipFill>
                  <pic:spPr>
                    <a:xfrm>
                      <a:off x="0" y="0"/>
                      <a:ext cx="6217920" cy="2562462"/>
                    </a:xfrm>
                    <a:prstGeom prst="rect"/>
                  </pic:spPr>
                </pic:pic>
              </a:graphicData>
            </a:graphic>
          </wp:inline>
        </w:drawing>
      </w:r>
    </w:p>
    <w:p>
      <w:pPr>
        <w:keepNext/>
        <w:spacing w:before="100" w:after="60"/>
        <w:jc w:val="center"/>
      </w:pPr>
      <w:r>
        <w:rPr>
          <w:rFonts w:ascii="Times New Roman" w:hAnsi="Times New Roman" w:eastAsia="黑体"/>
          <w:b/>
          <w:sz w:val="18"/>
        </w:rPr>
        <w:t>图1  连续回归模型的逐维表现</w:t>
      </w:r>
    </w:p>
    <w:p>
      <w:pPr>
        <w:spacing w:line="312" w:lineRule="auto" w:after="60"/>
        <w:ind w:firstLine="420"/>
      </w:pPr>
      <w:r>
        <w:rPr>
          <w:rFonts w:ascii="Times New Roman" w:hAnsi="Times New Roman" w:eastAsia="宋体"/>
          <w:b w:val="0"/>
          <w:sz w:val="21"/>
        </w:rPr>
        <w:t>逐维结果进一步表明，酒精感、苦度和酒体等理化特征较明确的维度较易预测，部分酒花与酯类细分香气的决定系数较低甚至为负。因此，面板平均值不能代替逐维诊断。表8列出随机森林表现最高与最低的五个维度。</w:t>
      </w:r>
    </w:p>
    <w:p>
      <w:pPr>
        <w:keepNext/>
        <w:spacing w:before="100" w:after="60"/>
        <w:jc w:val="center"/>
      </w:pPr>
      <w:r>
        <w:rPr>
          <w:rFonts w:ascii="Times New Roman" w:hAnsi="Times New Roman" w:eastAsia="黑体"/>
          <w:b/>
          <w:sz w:val="18"/>
        </w:rPr>
        <w:t>表8  随机森林逐维决定系数的极值维度</w:t>
      </w:r>
    </w:p>
    <w:tbl>
      <w:tblPr>
        <w:tblW w:type="auto" w:w="0"/>
        <w:jc w:val="center"/>
        <w:tblLayout w:type="fixed"/>
        <w:tblLook w:firstColumn="1" w:firstRow="1" w:lastColumn="0" w:lastRow="0" w:noHBand="0" w:noVBand="1" w:val="04A0"/>
      </w:tblPr>
      <w:tblGrid>
        <w:gridCol w:w="2324"/>
        <w:gridCol w:w="2324"/>
        <w:gridCol w:w="2324"/>
        <w:gridCol w:w="2324"/>
      </w:tblGrid>
      <w:tr>
        <w:trPr>
          <w:tblHeader/>
          <w:cantSplit/>
        </w:trPr>
        <w:tc>
          <w:tcPr>
            <w:tcW w:type="dxa" w:w="2835"/>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7"/>
              </w:rPr>
              <w:t>表现最高维度</w:t>
            </w:r>
          </w:p>
        </w:tc>
        <w:tc>
          <w:tcPr>
            <w:tcW w:type="dxa" w:w="1020"/>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7"/>
              </w:rPr>
              <w:t>R²</w:t>
            </w:r>
          </w:p>
        </w:tc>
        <w:tc>
          <w:tcPr>
            <w:tcW w:type="dxa" w:w="2835"/>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7"/>
              </w:rPr>
              <w:t>表现最低维度</w:t>
            </w:r>
          </w:p>
        </w:tc>
        <w:tc>
          <w:tcPr>
            <w:tcW w:type="dxa" w:w="1020"/>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7"/>
              </w:rPr>
              <w:t>R²</w:t>
            </w:r>
          </w:p>
        </w:tc>
      </w:tr>
      <w:tr>
        <w:trPr>
          <w:cantSplit/>
        </w:trPr>
        <w:tc>
          <w:tcPr>
            <w:tcW w:type="dxa" w:w="2835"/>
            <w:vAlign w:val="center"/>
            <w:tcBorders>
              <w:top w:val="nil"/>
              <w:bottom w:val="nil"/>
              <w:left w:val="nil"/>
              <w:right w:val="nil"/>
            </w:tcBorders>
          </w:tcPr>
          <w:p>
            <w:pPr>
              <w:keepNext/>
              <w:spacing w:after="20"/>
              <w:jc w:val="center"/>
            </w:pPr>
            <w:r/>
            <w:r>
              <w:rPr>
                <w:rFonts w:ascii="Times New Roman" w:hAnsi="Times New Roman" w:eastAsia="宋体"/>
                <w:b w:val="0"/>
                <w:sz w:val="17"/>
              </w:rPr>
              <w:t>酒精感</w:t>
            </w:r>
          </w:p>
        </w:tc>
        <w:tc>
          <w:tcPr>
            <w:tcW w:type="dxa" w:w="1020"/>
            <w:vAlign w:val="center"/>
            <w:tcBorders>
              <w:top w:val="nil"/>
              <w:bottom w:val="nil"/>
              <w:left w:val="nil"/>
              <w:right w:val="nil"/>
            </w:tcBorders>
          </w:tcPr>
          <w:p>
            <w:pPr>
              <w:keepNext/>
              <w:spacing w:after="20"/>
              <w:jc w:val="center"/>
            </w:pPr>
            <w:r/>
            <w:r>
              <w:rPr>
                <w:rFonts w:ascii="Times New Roman" w:hAnsi="Times New Roman" w:eastAsia="宋体"/>
                <w:b w:val="0"/>
                <w:sz w:val="17"/>
              </w:rPr>
              <w:t>0.754</w:t>
            </w:r>
          </w:p>
        </w:tc>
        <w:tc>
          <w:tcPr>
            <w:tcW w:type="dxa" w:w="2835"/>
            <w:vAlign w:val="center"/>
            <w:tcBorders>
              <w:top w:val="nil"/>
              <w:bottom w:val="nil"/>
              <w:left w:val="nil"/>
              <w:right w:val="nil"/>
            </w:tcBorders>
          </w:tcPr>
          <w:p>
            <w:pPr>
              <w:keepNext/>
              <w:spacing w:after="20"/>
              <w:jc w:val="center"/>
            </w:pPr>
            <w:r/>
            <w:r>
              <w:rPr>
                <w:rFonts w:ascii="Times New Roman" w:hAnsi="Times New Roman" w:eastAsia="宋体"/>
                <w:b w:val="0"/>
                <w:sz w:val="17"/>
              </w:rPr>
              <w:t>热带水果酒花香</w:t>
            </w:r>
          </w:p>
        </w:tc>
        <w:tc>
          <w:tcPr>
            <w:tcW w:type="dxa" w:w="1020"/>
            <w:vAlign w:val="center"/>
            <w:tcBorders>
              <w:top w:val="nil"/>
              <w:bottom w:val="nil"/>
              <w:left w:val="nil"/>
              <w:right w:val="nil"/>
            </w:tcBorders>
          </w:tcPr>
          <w:p>
            <w:pPr>
              <w:keepNext/>
              <w:spacing w:after="20"/>
              <w:jc w:val="center"/>
            </w:pPr>
            <w:r/>
            <w:r>
              <w:rPr>
                <w:rFonts w:ascii="Times New Roman" w:hAnsi="Times New Roman" w:eastAsia="宋体"/>
                <w:b w:val="0"/>
                <w:sz w:val="17"/>
              </w:rPr>
              <w:t>-0.374</w:t>
            </w:r>
          </w:p>
        </w:tc>
      </w:tr>
      <w:tr>
        <w:trPr>
          <w:cantSplit/>
        </w:trPr>
        <w:tc>
          <w:tcPr>
            <w:tcW w:type="dxa" w:w="2835"/>
            <w:vAlign w:val="center"/>
            <w:tcBorders>
              <w:top w:val="nil"/>
              <w:bottom w:val="nil"/>
              <w:left w:val="nil"/>
              <w:right w:val="nil"/>
            </w:tcBorders>
          </w:tcPr>
          <w:p>
            <w:pPr>
              <w:keepNext/>
              <w:spacing w:after="20"/>
              <w:jc w:val="center"/>
            </w:pPr>
            <w:r/>
            <w:r>
              <w:rPr>
                <w:rFonts w:ascii="Times New Roman" w:hAnsi="Times New Roman" w:eastAsia="宋体"/>
                <w:b w:val="0"/>
                <w:sz w:val="17"/>
              </w:rPr>
              <w:t>醋酸感</w:t>
            </w:r>
          </w:p>
        </w:tc>
        <w:tc>
          <w:tcPr>
            <w:tcW w:type="dxa" w:w="1020"/>
            <w:vAlign w:val="center"/>
            <w:tcBorders>
              <w:top w:val="nil"/>
              <w:bottom w:val="nil"/>
              <w:left w:val="nil"/>
              <w:right w:val="nil"/>
            </w:tcBorders>
          </w:tcPr>
          <w:p>
            <w:pPr>
              <w:keepNext/>
              <w:spacing w:after="20"/>
              <w:jc w:val="center"/>
            </w:pPr>
            <w:r/>
            <w:r>
              <w:rPr>
                <w:rFonts w:ascii="Times New Roman" w:hAnsi="Times New Roman" w:eastAsia="宋体"/>
                <w:b w:val="0"/>
                <w:sz w:val="17"/>
              </w:rPr>
              <w:t>0.728</w:t>
            </w:r>
          </w:p>
        </w:tc>
        <w:tc>
          <w:tcPr>
            <w:tcW w:type="dxa" w:w="2835"/>
            <w:vAlign w:val="center"/>
            <w:tcBorders>
              <w:top w:val="nil"/>
              <w:bottom w:val="nil"/>
              <w:left w:val="nil"/>
              <w:right w:val="nil"/>
            </w:tcBorders>
          </w:tcPr>
          <w:p>
            <w:pPr>
              <w:keepNext/>
              <w:spacing w:after="20"/>
              <w:jc w:val="center"/>
            </w:pPr>
            <w:r/>
            <w:r>
              <w:rPr>
                <w:rFonts w:ascii="Times New Roman" w:hAnsi="Times New Roman" w:eastAsia="宋体"/>
                <w:b w:val="0"/>
                <w:sz w:val="17"/>
              </w:rPr>
              <w:t>热带水果酒花风味</w:t>
            </w:r>
          </w:p>
        </w:tc>
        <w:tc>
          <w:tcPr>
            <w:tcW w:type="dxa" w:w="1020"/>
            <w:vAlign w:val="center"/>
            <w:tcBorders>
              <w:top w:val="nil"/>
              <w:bottom w:val="nil"/>
              <w:left w:val="nil"/>
              <w:right w:val="nil"/>
            </w:tcBorders>
          </w:tcPr>
          <w:p>
            <w:pPr>
              <w:keepNext/>
              <w:spacing w:after="20"/>
              <w:jc w:val="center"/>
            </w:pPr>
            <w:r/>
            <w:r>
              <w:rPr>
                <w:rFonts w:ascii="Times New Roman" w:hAnsi="Times New Roman" w:eastAsia="宋体"/>
                <w:b w:val="0"/>
                <w:sz w:val="17"/>
              </w:rPr>
              <w:t>-0.175</w:t>
            </w:r>
          </w:p>
        </w:tc>
      </w:tr>
      <w:tr>
        <w:trPr>
          <w:cantSplit/>
        </w:trPr>
        <w:tc>
          <w:tcPr>
            <w:tcW w:type="dxa" w:w="2835"/>
            <w:vAlign w:val="center"/>
            <w:tcBorders>
              <w:top w:val="nil"/>
              <w:bottom w:val="nil"/>
              <w:left w:val="nil"/>
              <w:right w:val="nil"/>
            </w:tcBorders>
          </w:tcPr>
          <w:p>
            <w:pPr>
              <w:keepNext/>
              <w:spacing w:after="20"/>
              <w:jc w:val="center"/>
            </w:pPr>
            <w:r/>
            <w:r>
              <w:rPr>
                <w:rFonts w:ascii="Times New Roman" w:hAnsi="Times New Roman" w:eastAsia="宋体"/>
                <w:b w:val="0"/>
                <w:sz w:val="17"/>
              </w:rPr>
              <w:t>酸度</w:t>
            </w:r>
          </w:p>
        </w:tc>
        <w:tc>
          <w:tcPr>
            <w:tcW w:type="dxa" w:w="1020"/>
            <w:vAlign w:val="center"/>
            <w:tcBorders>
              <w:top w:val="nil"/>
              <w:bottom w:val="nil"/>
              <w:left w:val="nil"/>
              <w:right w:val="nil"/>
            </w:tcBorders>
          </w:tcPr>
          <w:p>
            <w:pPr>
              <w:keepNext/>
              <w:spacing w:after="20"/>
              <w:jc w:val="center"/>
            </w:pPr>
            <w:r/>
            <w:r>
              <w:rPr>
                <w:rFonts w:ascii="Times New Roman" w:hAnsi="Times New Roman" w:eastAsia="宋体"/>
                <w:b w:val="0"/>
                <w:sz w:val="17"/>
              </w:rPr>
              <w:t>0.727</w:t>
            </w:r>
          </w:p>
        </w:tc>
        <w:tc>
          <w:tcPr>
            <w:tcW w:type="dxa" w:w="2835"/>
            <w:vAlign w:val="center"/>
            <w:tcBorders>
              <w:top w:val="nil"/>
              <w:bottom w:val="nil"/>
              <w:left w:val="nil"/>
              <w:right w:val="nil"/>
            </w:tcBorders>
          </w:tcPr>
          <w:p>
            <w:pPr>
              <w:keepNext/>
              <w:spacing w:after="20"/>
              <w:jc w:val="center"/>
            </w:pPr>
            <w:r/>
            <w:r>
              <w:rPr>
                <w:rFonts w:ascii="Times New Roman" w:hAnsi="Times New Roman" w:eastAsia="宋体"/>
                <w:b w:val="0"/>
                <w:sz w:val="17"/>
              </w:rPr>
              <w:t>双乙酰</w:t>
            </w:r>
          </w:p>
        </w:tc>
        <w:tc>
          <w:tcPr>
            <w:tcW w:type="dxa" w:w="1020"/>
            <w:vAlign w:val="center"/>
            <w:tcBorders>
              <w:top w:val="nil"/>
              <w:bottom w:val="nil"/>
              <w:left w:val="nil"/>
              <w:right w:val="nil"/>
            </w:tcBorders>
          </w:tcPr>
          <w:p>
            <w:pPr>
              <w:keepNext/>
              <w:spacing w:after="20"/>
              <w:jc w:val="center"/>
            </w:pPr>
            <w:r/>
            <w:r>
              <w:rPr>
                <w:rFonts w:ascii="Times New Roman" w:hAnsi="Times New Roman" w:eastAsia="宋体"/>
                <w:b w:val="0"/>
                <w:sz w:val="17"/>
              </w:rPr>
              <w:t>-0.122</w:t>
            </w:r>
          </w:p>
        </w:tc>
      </w:tr>
      <w:tr>
        <w:trPr>
          <w:cantSplit/>
        </w:trPr>
        <w:tc>
          <w:tcPr>
            <w:tcW w:type="dxa" w:w="2835"/>
            <w:vAlign w:val="center"/>
            <w:tcBorders>
              <w:top w:val="nil"/>
              <w:bottom w:val="nil"/>
              <w:left w:val="nil"/>
              <w:right w:val="nil"/>
            </w:tcBorders>
          </w:tcPr>
          <w:p>
            <w:pPr>
              <w:keepNext/>
              <w:spacing w:after="20"/>
              <w:jc w:val="center"/>
            </w:pPr>
            <w:r/>
            <w:r>
              <w:rPr>
                <w:rFonts w:ascii="Times New Roman" w:hAnsi="Times New Roman" w:eastAsia="宋体"/>
                <w:b w:val="0"/>
                <w:sz w:val="17"/>
              </w:rPr>
              <w:t>乳酸味</w:t>
            </w:r>
          </w:p>
        </w:tc>
        <w:tc>
          <w:tcPr>
            <w:tcW w:type="dxa" w:w="1020"/>
            <w:vAlign w:val="center"/>
            <w:tcBorders>
              <w:top w:val="nil"/>
              <w:bottom w:val="nil"/>
              <w:left w:val="nil"/>
              <w:right w:val="nil"/>
            </w:tcBorders>
          </w:tcPr>
          <w:p>
            <w:pPr>
              <w:keepNext/>
              <w:spacing w:after="20"/>
              <w:jc w:val="center"/>
            </w:pPr>
            <w:r/>
            <w:r>
              <w:rPr>
                <w:rFonts w:ascii="Times New Roman" w:hAnsi="Times New Roman" w:eastAsia="宋体"/>
                <w:b w:val="0"/>
                <w:sz w:val="17"/>
              </w:rPr>
              <w:t>0.646</w:t>
            </w:r>
          </w:p>
        </w:tc>
        <w:tc>
          <w:tcPr>
            <w:tcW w:type="dxa" w:w="2835"/>
            <w:vAlign w:val="center"/>
            <w:tcBorders>
              <w:top w:val="nil"/>
              <w:bottom w:val="nil"/>
              <w:left w:val="nil"/>
              <w:right w:val="nil"/>
            </w:tcBorders>
          </w:tcPr>
          <w:p>
            <w:pPr>
              <w:keepNext/>
              <w:spacing w:after="20"/>
              <w:jc w:val="center"/>
            </w:pPr>
            <w:r/>
            <w:r>
              <w:rPr>
                <w:rFonts w:ascii="Times New Roman" w:hAnsi="Times New Roman" w:eastAsia="宋体"/>
                <w:b w:val="0"/>
                <w:sz w:val="17"/>
              </w:rPr>
              <w:t>反-2-壬烯醛</w:t>
            </w:r>
          </w:p>
        </w:tc>
        <w:tc>
          <w:tcPr>
            <w:tcW w:type="dxa" w:w="1020"/>
            <w:vAlign w:val="center"/>
            <w:tcBorders>
              <w:top w:val="nil"/>
              <w:bottom w:val="nil"/>
              <w:left w:val="nil"/>
              <w:right w:val="nil"/>
            </w:tcBorders>
          </w:tcPr>
          <w:p>
            <w:pPr>
              <w:keepNext/>
              <w:spacing w:after="20"/>
              <w:jc w:val="center"/>
            </w:pPr>
            <w:r/>
            <w:r>
              <w:rPr>
                <w:rFonts w:ascii="Times New Roman" w:hAnsi="Times New Roman" w:eastAsia="宋体"/>
                <w:b w:val="0"/>
                <w:sz w:val="17"/>
              </w:rPr>
              <w:t>-0.051</w:t>
            </w:r>
          </w:p>
        </w:tc>
      </w:tr>
      <w:tr>
        <w:trPr>
          <w:cantSplit/>
        </w:trPr>
        <w:tc>
          <w:tcPr>
            <w:tcW w:type="dxa" w:w="2835"/>
            <w:vAlign w:val="center"/>
            <w:tcBorders>
              <w:top w:val="nil"/>
              <w:bottom w:val="single" w:sz="12" w:color="000000"/>
              <w:left w:val="nil"/>
              <w:right w:val="nil"/>
            </w:tcBorders>
          </w:tcPr>
          <w:p>
            <w:pPr>
              <w:spacing w:after="20"/>
              <w:jc w:val="center"/>
            </w:pPr>
            <w:r/>
            <w:r>
              <w:rPr>
                <w:rFonts w:ascii="Times New Roman" w:hAnsi="Times New Roman" w:eastAsia="宋体"/>
                <w:b w:val="0"/>
                <w:sz w:val="17"/>
              </w:rPr>
              <w:t>苦度</w:t>
            </w:r>
          </w:p>
        </w:tc>
        <w:tc>
          <w:tcPr>
            <w:tcW w:type="dxa" w:w="1020"/>
            <w:vAlign w:val="center"/>
            <w:tcBorders>
              <w:top w:val="nil"/>
              <w:bottom w:val="single" w:sz="12" w:color="000000"/>
              <w:left w:val="nil"/>
              <w:right w:val="nil"/>
            </w:tcBorders>
          </w:tcPr>
          <w:p>
            <w:pPr>
              <w:spacing w:after="20"/>
              <w:jc w:val="center"/>
            </w:pPr>
            <w:r/>
            <w:r>
              <w:rPr>
                <w:rFonts w:ascii="Times New Roman" w:hAnsi="Times New Roman" w:eastAsia="宋体"/>
                <w:b w:val="0"/>
                <w:sz w:val="17"/>
              </w:rPr>
              <w:t>0.627</w:t>
            </w:r>
          </w:p>
        </w:tc>
        <w:tc>
          <w:tcPr>
            <w:tcW w:type="dxa" w:w="2835"/>
            <w:vAlign w:val="center"/>
            <w:tcBorders>
              <w:top w:val="nil"/>
              <w:bottom w:val="single" w:sz="12" w:color="000000"/>
              <w:left w:val="nil"/>
              <w:right w:val="nil"/>
            </w:tcBorders>
          </w:tcPr>
          <w:p>
            <w:pPr>
              <w:spacing w:after="20"/>
              <w:jc w:val="center"/>
            </w:pPr>
            <w:r/>
            <w:r>
              <w:rPr>
                <w:rFonts w:ascii="Times New Roman" w:hAnsi="Times New Roman" w:eastAsia="宋体"/>
                <w:b w:val="0"/>
                <w:sz w:val="17"/>
              </w:rPr>
              <w:t>花香酯风味</w:t>
            </w:r>
          </w:p>
        </w:tc>
        <w:tc>
          <w:tcPr>
            <w:tcW w:type="dxa" w:w="1020"/>
            <w:vAlign w:val="center"/>
            <w:tcBorders>
              <w:top w:val="nil"/>
              <w:bottom w:val="single" w:sz="12" w:color="000000"/>
              <w:left w:val="nil"/>
              <w:right w:val="nil"/>
            </w:tcBorders>
          </w:tcPr>
          <w:p>
            <w:pPr>
              <w:spacing w:after="20"/>
              <w:jc w:val="center"/>
            </w:pPr>
            <w:r/>
            <w:r>
              <w:rPr>
                <w:rFonts w:ascii="Times New Roman" w:hAnsi="Times New Roman" w:eastAsia="宋体"/>
                <w:b w:val="0"/>
                <w:sz w:val="17"/>
              </w:rPr>
              <w:t>-0.037</w:t>
            </w:r>
          </w:p>
        </w:tc>
      </w:tr>
    </w:tbl>
    <w:p>
      <w:pPr>
        <w:spacing w:before="0" w:after="0" w:line="240" w:lineRule="auto"/>
      </w:pPr>
      <w:r>
        <w:rPr>
          <w:sz w:val="12"/>
        </w:rPr>
        <w:t xml:space="preserve"> </w:t>
      </w:r>
    </w:p>
    <w:p>
      <w:pPr>
        <w:keepNext/>
        <w:spacing w:before="140" w:after="80"/>
      </w:pPr>
      <w:r>
        <w:rPr>
          <w:rFonts w:ascii="Times New Roman" w:hAnsi="Times New Roman" w:eastAsia="黑体"/>
          <w:b/>
          <w:sz w:val="22"/>
        </w:rPr>
        <w:t>5.7.2  缺失条件下的性能变化</w:t>
      </w:r>
    </w:p>
    <w:p>
      <w:pPr>
        <w:keepNext/>
        <w:spacing w:before="100" w:after="60"/>
        <w:jc w:val="center"/>
      </w:pPr>
      <w:r>
        <w:rPr>
          <w:rFonts w:ascii="Times New Roman" w:hAnsi="Times New Roman" w:eastAsia="黑体"/>
          <w:b/>
          <w:sz w:val="18"/>
          <w:highlight w:val="yellow"/>
        </w:rPr>
        <w:t>表9  三套缺失处理方案在不同遮掩比例下的测试集平均决定系数</w:t>
      </w:r>
    </w:p>
    <w:tbl>
      <w:tblPr>
        <w:tblW w:type="auto" w:w="0"/>
        <w:jc w:val="center"/>
        <w:tblLayout w:type="fixed"/>
        <w:tblLook w:firstColumn="1" w:firstRow="1" w:lastColumn="0" w:lastRow="0" w:noHBand="0" w:noVBand="1" w:val="04A0"/>
      </w:tblPr>
      <w:tblGrid>
        <w:gridCol w:w="2324"/>
        <w:gridCol w:w="2324"/>
        <w:gridCol w:w="2324"/>
        <w:gridCol w:w="2324"/>
      </w:tblGrid>
      <w:tr>
        <w:trPr>
          <w:tblHeader/>
          <w:cantSplit/>
        </w:trPr>
        <w:tc>
          <w:tcPr>
            <w:tcW w:type="dxa" w:w="1134"/>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6"/>
              </w:rPr>
              <w:t>遮掩比例</w:t>
            </w:r>
          </w:p>
        </w:tc>
        <w:tc>
          <w:tcPr>
            <w:tcW w:type="dxa" w:w="2381"/>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6"/>
              </w:rPr>
              <w:t>均值填补与梯度提升回归</w:t>
            </w:r>
          </w:p>
        </w:tc>
        <w:tc>
          <w:tcPr>
            <w:tcW w:type="dxa" w:w="2608"/>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6"/>
              </w:rPr>
              <w:t>原生缺失与直方图梯度提升回归</w:t>
            </w:r>
          </w:p>
        </w:tc>
        <w:tc>
          <w:tcPr>
            <w:tcW w:type="dxa" w:w="2608"/>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6"/>
                <w:highlight w:val="yellow"/>
              </w:rPr>
              <w:t>随机森林＋分位标定（最终方案）</w:t>
            </w:r>
          </w:p>
        </w:tc>
      </w:tr>
      <w:tr>
        <w:trPr>
          <w:cantSplit/>
        </w:trPr>
        <w:tc>
          <w:tcPr>
            <w:tcW w:type="dxa" w:w="1134"/>
            <w:vAlign w:val="center"/>
            <w:tcBorders>
              <w:top w:val="nil"/>
              <w:bottom w:val="nil"/>
              <w:left w:val="nil"/>
              <w:right w:val="nil"/>
            </w:tcBorders>
          </w:tcPr>
          <w:p>
            <w:pPr>
              <w:keepNext/>
              <w:spacing w:after="20"/>
              <w:jc w:val="center"/>
            </w:pPr>
            <w:r/>
            <w:r>
              <w:rPr>
                <w:rFonts w:ascii="Times New Roman" w:hAnsi="Times New Roman" w:eastAsia="宋体"/>
                <w:b w:val="0"/>
                <w:sz w:val="16"/>
              </w:rPr>
              <w:t>0%</w:t>
            </w:r>
          </w:p>
        </w:tc>
        <w:tc>
          <w:tcPr>
            <w:tcW w:type="dxa" w:w="2381"/>
            <w:vAlign w:val="center"/>
            <w:tcBorders>
              <w:top w:val="nil"/>
              <w:bottom w:val="nil"/>
              <w:left w:val="nil"/>
              <w:right w:val="nil"/>
            </w:tcBorders>
          </w:tcPr>
          <w:p>
            <w:pPr>
              <w:keepNext/>
              <w:spacing w:after="20"/>
              <w:jc w:val="center"/>
            </w:pPr>
            <w:r/>
            <w:r>
              <w:rPr>
                <w:rFonts w:ascii="Times New Roman" w:hAnsi="Times New Roman" w:eastAsia="宋体"/>
                <w:b w:val="0"/>
                <w:sz w:val="16"/>
              </w:rPr>
              <w:t>0.160</w:t>
            </w:r>
          </w:p>
        </w:tc>
        <w:tc>
          <w:tcPr>
            <w:tcW w:type="dxa" w:w="2608"/>
            <w:vAlign w:val="center"/>
            <w:tcBorders>
              <w:top w:val="nil"/>
              <w:bottom w:val="nil"/>
              <w:left w:val="nil"/>
              <w:right w:val="nil"/>
            </w:tcBorders>
          </w:tcPr>
          <w:p>
            <w:pPr>
              <w:keepNext/>
              <w:spacing w:after="20"/>
              <w:jc w:val="center"/>
            </w:pPr>
            <w:r/>
            <w:r>
              <w:rPr>
                <w:rFonts w:ascii="Times New Roman" w:hAnsi="Times New Roman" w:eastAsia="宋体"/>
                <w:b w:val="0"/>
                <w:sz w:val="16"/>
              </w:rPr>
              <w:t>0.133</w:t>
            </w:r>
          </w:p>
        </w:tc>
        <w:tc>
          <w:tcPr>
            <w:tcW w:type="dxa" w:w="2608"/>
            <w:vAlign w:val="center"/>
            <w:tcBorders>
              <w:top w:val="nil"/>
              <w:bottom w:val="nil"/>
              <w:left w:val="nil"/>
              <w:right w:val="nil"/>
            </w:tcBorders>
          </w:tcPr>
          <w:p>
            <w:pPr>
              <w:keepNext/>
              <w:spacing w:after="20"/>
              <w:jc w:val="center"/>
            </w:pPr>
            <w:r/>
            <w:r>
              <w:rPr>
                <w:rFonts w:ascii="Times New Roman" w:hAnsi="Times New Roman" w:eastAsia="宋体"/>
                <w:b w:val="0"/>
                <w:sz w:val="16"/>
                <w:highlight w:val="yellow"/>
              </w:rPr>
              <w:t>0.218</w:t>
            </w:r>
          </w:p>
        </w:tc>
      </w:tr>
      <w:tr>
        <w:trPr>
          <w:cantSplit/>
        </w:trPr>
        <w:tc>
          <w:tcPr>
            <w:tcW w:type="dxa" w:w="1134"/>
            <w:vAlign w:val="center"/>
            <w:tcBorders>
              <w:top w:val="nil"/>
              <w:bottom w:val="nil"/>
              <w:left w:val="nil"/>
              <w:right w:val="nil"/>
            </w:tcBorders>
          </w:tcPr>
          <w:p>
            <w:pPr>
              <w:keepNext/>
              <w:spacing w:after="20"/>
              <w:jc w:val="center"/>
            </w:pPr>
            <w:r/>
            <w:r>
              <w:rPr>
                <w:rFonts w:ascii="Times New Roman" w:hAnsi="Times New Roman" w:eastAsia="宋体"/>
                <w:b w:val="0"/>
                <w:sz w:val="16"/>
              </w:rPr>
              <w:t>5%</w:t>
            </w:r>
          </w:p>
        </w:tc>
        <w:tc>
          <w:tcPr>
            <w:tcW w:type="dxa" w:w="2381"/>
            <w:vAlign w:val="center"/>
            <w:tcBorders>
              <w:top w:val="nil"/>
              <w:bottom w:val="nil"/>
              <w:left w:val="nil"/>
              <w:right w:val="nil"/>
            </w:tcBorders>
          </w:tcPr>
          <w:p>
            <w:pPr>
              <w:keepNext/>
              <w:spacing w:after="20"/>
              <w:jc w:val="center"/>
            </w:pPr>
            <w:r/>
            <w:r>
              <w:rPr>
                <w:rFonts w:ascii="Times New Roman" w:hAnsi="Times New Roman" w:eastAsia="宋体"/>
                <w:b w:val="0"/>
                <w:sz w:val="16"/>
              </w:rPr>
              <w:t>0.149±0.008</w:t>
            </w:r>
          </w:p>
        </w:tc>
        <w:tc>
          <w:tcPr>
            <w:tcW w:type="dxa" w:w="2608"/>
            <w:vAlign w:val="center"/>
            <w:tcBorders>
              <w:top w:val="nil"/>
              <w:bottom w:val="nil"/>
              <w:left w:val="nil"/>
              <w:right w:val="nil"/>
            </w:tcBorders>
          </w:tcPr>
          <w:p>
            <w:pPr>
              <w:keepNext/>
              <w:spacing w:after="20"/>
              <w:jc w:val="center"/>
            </w:pPr>
            <w:r/>
            <w:r>
              <w:rPr>
                <w:rFonts w:ascii="Times New Roman" w:hAnsi="Times New Roman" w:eastAsia="宋体"/>
                <w:b w:val="0"/>
                <w:sz w:val="16"/>
              </w:rPr>
              <w:t>0.119±0.012</w:t>
            </w:r>
          </w:p>
        </w:tc>
        <w:tc>
          <w:tcPr>
            <w:tcW w:type="dxa" w:w="2608"/>
            <w:vAlign w:val="center"/>
            <w:tcBorders>
              <w:top w:val="nil"/>
              <w:bottom w:val="nil"/>
              <w:left w:val="nil"/>
              <w:right w:val="nil"/>
            </w:tcBorders>
          </w:tcPr>
          <w:p>
            <w:pPr>
              <w:keepNext/>
              <w:spacing w:after="20"/>
              <w:jc w:val="center"/>
            </w:pPr>
            <w:r/>
            <w:r>
              <w:rPr>
                <w:rFonts w:ascii="Times New Roman" w:hAnsi="Times New Roman" w:eastAsia="宋体"/>
                <w:b w:val="0"/>
                <w:sz w:val="16"/>
                <w:highlight w:val="yellow"/>
              </w:rPr>
              <w:t>0.209±0.003</w:t>
            </w:r>
          </w:p>
        </w:tc>
      </w:tr>
      <w:tr>
        <w:trPr>
          <w:cantSplit/>
        </w:trPr>
        <w:tc>
          <w:tcPr>
            <w:tcW w:type="dxa" w:w="1134"/>
            <w:vAlign w:val="center"/>
            <w:tcBorders>
              <w:top w:val="nil"/>
              <w:bottom w:val="nil"/>
              <w:left w:val="nil"/>
              <w:right w:val="nil"/>
            </w:tcBorders>
          </w:tcPr>
          <w:p>
            <w:pPr>
              <w:keepNext/>
              <w:spacing w:after="20"/>
              <w:jc w:val="center"/>
            </w:pPr>
            <w:r/>
            <w:r>
              <w:rPr>
                <w:rFonts w:ascii="Times New Roman" w:hAnsi="Times New Roman" w:eastAsia="宋体"/>
                <w:b w:val="0"/>
                <w:sz w:val="16"/>
              </w:rPr>
              <w:t>10%</w:t>
            </w:r>
          </w:p>
        </w:tc>
        <w:tc>
          <w:tcPr>
            <w:tcW w:type="dxa" w:w="2381"/>
            <w:vAlign w:val="center"/>
            <w:tcBorders>
              <w:top w:val="nil"/>
              <w:bottom w:val="nil"/>
              <w:left w:val="nil"/>
              <w:right w:val="nil"/>
            </w:tcBorders>
          </w:tcPr>
          <w:p>
            <w:pPr>
              <w:keepNext/>
              <w:spacing w:after="20"/>
              <w:jc w:val="center"/>
            </w:pPr>
            <w:r/>
            <w:r>
              <w:rPr>
                <w:rFonts w:ascii="Times New Roman" w:hAnsi="Times New Roman" w:eastAsia="宋体"/>
                <w:b w:val="0"/>
                <w:sz w:val="16"/>
              </w:rPr>
              <w:t>0.157±0.007</w:t>
            </w:r>
          </w:p>
        </w:tc>
        <w:tc>
          <w:tcPr>
            <w:tcW w:type="dxa" w:w="2608"/>
            <w:vAlign w:val="center"/>
            <w:tcBorders>
              <w:top w:val="nil"/>
              <w:bottom w:val="nil"/>
              <w:left w:val="nil"/>
              <w:right w:val="nil"/>
            </w:tcBorders>
          </w:tcPr>
          <w:p>
            <w:pPr>
              <w:keepNext/>
              <w:spacing w:after="20"/>
              <w:jc w:val="center"/>
            </w:pPr>
            <w:r/>
            <w:r>
              <w:rPr>
                <w:rFonts w:ascii="Times New Roman" w:hAnsi="Times New Roman" w:eastAsia="宋体"/>
                <w:b w:val="0"/>
                <w:sz w:val="16"/>
              </w:rPr>
              <w:t>0.127±0.011</w:t>
            </w:r>
          </w:p>
        </w:tc>
        <w:tc>
          <w:tcPr>
            <w:tcW w:type="dxa" w:w="2608"/>
            <w:vAlign w:val="center"/>
            <w:tcBorders>
              <w:top w:val="nil"/>
              <w:bottom w:val="nil"/>
              <w:left w:val="nil"/>
              <w:right w:val="nil"/>
            </w:tcBorders>
          </w:tcPr>
          <w:p>
            <w:pPr>
              <w:keepNext/>
              <w:spacing w:after="20"/>
              <w:jc w:val="center"/>
            </w:pPr>
            <w:r/>
            <w:r>
              <w:rPr>
                <w:rFonts w:ascii="Times New Roman" w:hAnsi="Times New Roman" w:eastAsia="宋体"/>
                <w:b w:val="0"/>
                <w:sz w:val="16"/>
                <w:highlight w:val="yellow"/>
              </w:rPr>
              <w:t>0.204±0.003</w:t>
            </w:r>
          </w:p>
        </w:tc>
      </w:tr>
      <w:tr>
        <w:trPr>
          <w:cantSplit/>
        </w:trPr>
        <w:tc>
          <w:tcPr>
            <w:tcW w:type="dxa" w:w="1134"/>
            <w:vAlign w:val="center"/>
            <w:tcBorders>
              <w:top w:val="nil"/>
              <w:bottom w:val="nil"/>
              <w:left w:val="nil"/>
              <w:right w:val="nil"/>
            </w:tcBorders>
          </w:tcPr>
          <w:p>
            <w:pPr>
              <w:keepNext/>
              <w:spacing w:after="20"/>
              <w:jc w:val="center"/>
            </w:pPr>
            <w:r/>
            <w:r>
              <w:rPr>
                <w:rFonts w:ascii="Times New Roman" w:hAnsi="Times New Roman" w:eastAsia="宋体"/>
                <w:b w:val="0"/>
                <w:sz w:val="16"/>
              </w:rPr>
              <w:t>20%</w:t>
            </w:r>
          </w:p>
        </w:tc>
        <w:tc>
          <w:tcPr>
            <w:tcW w:type="dxa" w:w="2381"/>
            <w:vAlign w:val="center"/>
            <w:tcBorders>
              <w:top w:val="nil"/>
              <w:bottom w:val="nil"/>
              <w:left w:val="nil"/>
              <w:right w:val="nil"/>
            </w:tcBorders>
          </w:tcPr>
          <w:p>
            <w:pPr>
              <w:keepNext/>
              <w:spacing w:after="20"/>
              <w:jc w:val="center"/>
            </w:pPr>
            <w:r/>
            <w:r>
              <w:rPr>
                <w:rFonts w:ascii="Times New Roman" w:hAnsi="Times New Roman" w:eastAsia="宋体"/>
                <w:b w:val="0"/>
                <w:sz w:val="16"/>
              </w:rPr>
              <w:t>0.127±0.017</w:t>
            </w:r>
          </w:p>
        </w:tc>
        <w:tc>
          <w:tcPr>
            <w:tcW w:type="dxa" w:w="2608"/>
            <w:vAlign w:val="center"/>
            <w:tcBorders>
              <w:top w:val="nil"/>
              <w:bottom w:val="nil"/>
              <w:left w:val="nil"/>
              <w:right w:val="nil"/>
            </w:tcBorders>
          </w:tcPr>
          <w:p>
            <w:pPr>
              <w:keepNext/>
              <w:spacing w:after="20"/>
              <w:jc w:val="center"/>
            </w:pPr>
            <w:r/>
            <w:r>
              <w:rPr>
                <w:rFonts w:ascii="Times New Roman" w:hAnsi="Times New Roman" w:eastAsia="宋体"/>
                <w:b w:val="0"/>
                <w:sz w:val="16"/>
              </w:rPr>
              <w:t>0.104±0.021</w:t>
            </w:r>
          </w:p>
        </w:tc>
        <w:tc>
          <w:tcPr>
            <w:tcW w:type="dxa" w:w="2608"/>
            <w:vAlign w:val="center"/>
            <w:tcBorders>
              <w:top w:val="nil"/>
              <w:bottom w:val="nil"/>
              <w:left w:val="nil"/>
              <w:right w:val="nil"/>
            </w:tcBorders>
          </w:tcPr>
          <w:p>
            <w:pPr>
              <w:keepNext/>
              <w:spacing w:after="20"/>
              <w:jc w:val="center"/>
            </w:pPr>
            <w:r/>
            <w:r>
              <w:rPr>
                <w:rFonts w:ascii="Times New Roman" w:hAnsi="Times New Roman" w:eastAsia="宋体"/>
                <w:b w:val="0"/>
                <w:sz w:val="16"/>
                <w:highlight w:val="yellow"/>
              </w:rPr>
              <w:t>0.185±0.003</w:t>
            </w:r>
          </w:p>
        </w:tc>
      </w:tr>
      <w:tr>
        <w:trPr>
          <w:cantSplit/>
        </w:trPr>
        <w:tc>
          <w:tcPr>
            <w:tcW w:type="dxa" w:w="1134"/>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30%</w:t>
            </w:r>
          </w:p>
        </w:tc>
        <w:tc>
          <w:tcPr>
            <w:tcW w:type="dxa" w:w="2381"/>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0.116±0.007</w:t>
            </w:r>
          </w:p>
        </w:tc>
        <w:tc>
          <w:tcPr>
            <w:tcW w:type="dxa" w:w="2608"/>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0.077±0.013</w:t>
            </w:r>
          </w:p>
        </w:tc>
        <w:tc>
          <w:tcPr>
            <w:tcW w:type="dxa" w:w="2608"/>
            <w:vAlign w:val="center"/>
            <w:tcBorders>
              <w:top w:val="nil"/>
              <w:bottom w:val="single" w:sz="12" w:color="000000"/>
              <w:left w:val="nil"/>
              <w:right w:val="nil"/>
            </w:tcBorders>
          </w:tcPr>
          <w:p>
            <w:pPr>
              <w:spacing w:after="20"/>
              <w:jc w:val="center"/>
            </w:pPr>
            <w:r/>
            <w:r>
              <w:rPr>
                <w:rFonts w:ascii="Times New Roman" w:hAnsi="Times New Roman" w:eastAsia="宋体"/>
                <w:b w:val="0"/>
                <w:sz w:val="16"/>
                <w:highlight w:val="yellow"/>
              </w:rPr>
              <w:t>0.171±0.007</w:t>
            </w:r>
          </w:p>
        </w:tc>
      </w:tr>
    </w:tbl>
    <w:p>
      <w:pPr>
        <w:spacing w:before="0" w:after="0" w:line="240" w:lineRule="auto"/>
      </w:pPr>
      <w:r>
        <w:rPr>
          <w:sz w:val="12"/>
        </w:rPr>
        <w:t xml:space="preserve"> </w:t>
      </w:r>
    </w:p>
    <w:p>
      <w:pPr>
        <w:spacing w:after="80"/>
      </w:pPr>
      <w:r>
        <w:rPr>
          <w:rFonts w:ascii="Times New Roman" w:hAnsi="Times New Roman" w:eastAsia="宋体"/>
          <w:b w:val="0"/>
          <w:sz w:val="17"/>
        </w:rPr>
        <w:t>注：0%遮掩为基线结果，仅计算一次，未计算重复实验标准差。黄色高亮列为本次补报的最终方案结果。</w:t>
      </w:r>
    </w:p>
    <w:p>
      <w:pPr>
        <w:spacing w:line="312" w:lineRule="auto" w:after="60"/>
        <w:ind w:firstLine="420"/>
      </w:pPr>
      <w:r>
        <w:rPr>
          <w:rFonts w:ascii="Times New Roman" w:hAnsi="Times New Roman" w:eastAsia="宋体"/>
          <w:b w:val="0"/>
          <w:sz w:val="21"/>
        </w:rPr>
        <w:t>两套方案的平均表现随遮掩比例增加总体下降，但局部存在波动。遮掩比例由0增至30%时，均值填补方案由0.160降至0.116，相对下降27.2%；原生缺失方案由0.133降至0.077，相对下降42.3%。在本实验范围内，均值填补方案的整体下降幅度较小，但该结论只适用于两套完整方案的比较。</w:t>
      </w:r>
    </w:p>
    <w:p>
      <w:pPr>
        <w:spacing w:line="312" w:lineRule="auto" w:after="60"/>
        <w:ind w:firstLine="420"/>
      </w:pPr>
      <w:r>
        <w:rPr>
          <w:rFonts w:ascii="Times New Roman" w:hAnsi="Times New Roman" w:eastAsia="宋体"/>
          <w:b w:val="0"/>
          <w:sz w:val="21"/>
          <w:highlight w:val="yellow"/>
        </w:rPr>
        <w:t>最终采用的随机森林＋分位标定方案在相同遮掩条件下由0.218降至0.171，相对下降21.3%，其连续预测的决定系数高于另两套方案，说明该方案对特征缺失的鲁棒性与基准方案相当。</w:t>
      </w:r>
    </w:p>
    <w:p>
      <w:pPr>
        <w:keepNext/>
        <w:spacing w:before="100" w:after="60"/>
        <w:jc w:val="center"/>
      </w:pPr>
      <w:r>
        <w:rPr>
          <w:rFonts w:ascii="Times New Roman" w:hAnsi="Times New Roman" w:eastAsia="黑体"/>
          <w:b/>
          <w:sz w:val="18"/>
          <w:highlight w:val="yellow"/>
        </w:rPr>
        <w:t>表10  最终方案（随机森林＋分位标定）在不同遮掩比例下的分级表现</w:t>
      </w:r>
    </w:p>
    <w:tbl>
      <w:tblPr>
        <w:tblW w:type="auto" w:w="0"/>
        <w:jc w:val="center"/>
        <w:tblLayout w:type="fixed"/>
        <w:tblLook w:firstColumn="1" w:firstRow="1" w:lastColumn="0" w:lastRow="0" w:noHBand="0" w:noVBand="1" w:val="04A0"/>
      </w:tblPr>
      <w:tblGrid>
        <w:gridCol w:w="2324"/>
        <w:gridCol w:w="2324"/>
        <w:gridCol w:w="2324"/>
        <w:gridCol w:w="2324"/>
      </w:tblGrid>
      <w:tr>
        <w:trPr>
          <w:tblHeader/>
          <w:cantSplit/>
        </w:trPr>
        <w:tc>
          <w:tcPr>
            <w:tcW w:type="dxa" w:w="1701"/>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6"/>
              </w:rPr>
              <w:t>遮掩比例</w:t>
            </w:r>
          </w:p>
        </w:tc>
        <w:tc>
          <w:tcPr>
            <w:tcW w:type="dxa" w:w="2041"/>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6"/>
              </w:rPr>
              <w:t>平均二次加权Kappa</w:t>
            </w:r>
          </w:p>
        </w:tc>
        <w:tc>
          <w:tcPr>
            <w:tcW w:type="dxa" w:w="1814"/>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6"/>
              </w:rPr>
              <w:t>严格准确率</w:t>
            </w:r>
          </w:p>
        </w:tc>
        <w:tc>
          <w:tcPr>
            <w:tcW w:type="dxa" w:w="2381"/>
            <w:vAlign w:val="center"/>
            <w:tcBorders>
              <w:top w:val="single" w:sz="12" w:color="000000"/>
              <w:bottom w:val="single" w:sz="6" w:color="000000"/>
              <w:left w:val="nil"/>
              <w:right w:val="nil"/>
            </w:tcBorders>
          </w:tcPr>
          <w:p>
            <w:pPr>
              <w:keepNext/>
              <w:spacing w:after="20"/>
              <w:jc w:val="center"/>
            </w:pPr>
            <w:r/>
            <w:r>
              <w:rPr>
                <w:rFonts w:ascii="Times New Roman" w:hAnsi="Times New Roman" w:eastAsia="宋体"/>
                <w:b/>
                <w:sz w:val="16"/>
              </w:rPr>
              <w:t>相邻一级容差准确率</w:t>
            </w:r>
          </w:p>
        </w:tc>
      </w:tr>
      <w:tr>
        <w:trPr>
          <w:cantSplit/>
        </w:trPr>
        <w:tc>
          <w:tcPr>
            <w:tcW w:type="dxa" w:w="1701"/>
            <w:vAlign w:val="center"/>
            <w:tcBorders>
              <w:top w:val="nil"/>
              <w:bottom w:val="nil"/>
              <w:left w:val="nil"/>
              <w:right w:val="nil"/>
            </w:tcBorders>
          </w:tcPr>
          <w:p>
            <w:pPr>
              <w:keepNext/>
              <w:spacing w:after="20"/>
              <w:jc w:val="center"/>
            </w:pPr>
            <w:r/>
            <w:r>
              <w:rPr>
                <w:rFonts w:ascii="Times New Roman" w:hAnsi="Times New Roman" w:eastAsia="宋体"/>
                <w:b w:val="0"/>
                <w:sz w:val="16"/>
              </w:rPr>
              <w:t>0%</w:t>
            </w:r>
          </w:p>
        </w:tc>
        <w:tc>
          <w:tcPr>
            <w:tcW w:type="dxa" w:w="2041"/>
            <w:vAlign w:val="center"/>
            <w:tcBorders>
              <w:top w:val="nil"/>
              <w:bottom w:val="nil"/>
              <w:left w:val="nil"/>
              <w:right w:val="nil"/>
            </w:tcBorders>
          </w:tcPr>
          <w:p>
            <w:pPr>
              <w:keepNext/>
              <w:spacing w:after="20"/>
              <w:jc w:val="center"/>
            </w:pPr>
            <w:r/>
            <w:r>
              <w:rPr>
                <w:rFonts w:ascii="Times New Roman" w:hAnsi="Times New Roman" w:eastAsia="宋体"/>
                <w:b w:val="0"/>
                <w:sz w:val="16"/>
              </w:rPr>
              <w:t>0.293</w:t>
            </w:r>
          </w:p>
        </w:tc>
        <w:tc>
          <w:tcPr>
            <w:tcW w:type="dxa" w:w="1814"/>
            <w:vAlign w:val="center"/>
            <w:tcBorders>
              <w:top w:val="nil"/>
              <w:bottom w:val="nil"/>
              <w:left w:val="nil"/>
              <w:right w:val="nil"/>
            </w:tcBorders>
          </w:tcPr>
          <w:p>
            <w:pPr>
              <w:keepNext/>
              <w:spacing w:after="20"/>
              <w:jc w:val="center"/>
            </w:pPr>
            <w:r/>
            <w:r>
              <w:rPr>
                <w:rFonts w:ascii="Times New Roman" w:hAnsi="Times New Roman" w:eastAsia="宋体"/>
                <w:b w:val="0"/>
                <w:sz w:val="16"/>
              </w:rPr>
              <w:t>20.9%</w:t>
            </w:r>
          </w:p>
        </w:tc>
        <w:tc>
          <w:tcPr>
            <w:tcW w:type="dxa" w:w="2381"/>
            <w:vAlign w:val="center"/>
            <w:tcBorders>
              <w:top w:val="nil"/>
              <w:bottom w:val="nil"/>
              <w:left w:val="nil"/>
              <w:right w:val="nil"/>
            </w:tcBorders>
          </w:tcPr>
          <w:p>
            <w:pPr>
              <w:keepNext/>
              <w:spacing w:after="20"/>
              <w:jc w:val="center"/>
            </w:pPr>
            <w:r/>
            <w:r>
              <w:rPr>
                <w:rFonts w:ascii="Times New Roman" w:hAnsi="Times New Roman" w:eastAsia="宋体"/>
                <w:b w:val="0"/>
                <w:sz w:val="16"/>
              </w:rPr>
              <w:t>54.2%</w:t>
            </w:r>
          </w:p>
        </w:tc>
      </w:tr>
      <w:tr>
        <w:trPr>
          <w:cantSplit/>
        </w:trPr>
        <w:tc>
          <w:tcPr>
            <w:tcW w:type="dxa" w:w="1701"/>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30%</w:t>
            </w:r>
          </w:p>
        </w:tc>
        <w:tc>
          <w:tcPr>
            <w:tcW w:type="dxa" w:w="2041"/>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0.234</w:t>
            </w:r>
          </w:p>
        </w:tc>
        <w:tc>
          <w:tcPr>
            <w:tcW w:type="dxa" w:w="1814"/>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19.0%</w:t>
            </w:r>
          </w:p>
        </w:tc>
        <w:tc>
          <w:tcPr>
            <w:tcW w:type="dxa" w:w="2381"/>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51.6%</w:t>
            </w:r>
          </w:p>
        </w:tc>
      </w:tr>
    </w:tbl>
    <w:p>
      <w:pPr>
        <w:spacing w:before="0" w:after="0" w:line="240" w:lineRule="auto"/>
      </w:pPr>
      <w:r>
        <w:rPr>
          <w:sz w:val="12"/>
        </w:rPr>
        <w:t xml:space="preserve"> </w:t>
      </w:r>
    </w:p>
    <w:p>
      <w:pPr>
        <w:spacing w:after="80"/>
      </w:pPr>
      <w:r>
        <w:rPr>
          <w:rFonts w:ascii="Times New Roman" w:hAnsi="Times New Roman" w:eastAsia="宋体"/>
          <w:b w:val="0"/>
          <w:sz w:val="17"/>
        </w:rPr>
        <w:t>注：表10为本次补报，直接检验最终方案在缺失条件下的分级稳定性，其数值由3个随机种子取平均（30%遮掩）或单次（0%基线）。</w:t>
      </w:r>
    </w:p>
    <w:p>
      <w:pPr>
        <w:spacing w:line="312" w:lineRule="auto" w:after="60"/>
        <w:ind w:firstLine="420"/>
      </w:pPr>
      <w:r>
        <w:rPr>
          <w:rFonts w:ascii="Times New Roman" w:hAnsi="Times New Roman" w:eastAsia="宋体"/>
          <w:b w:val="0"/>
          <w:sz w:val="21"/>
          <w:highlight w:val="yellow"/>
        </w:rPr>
        <w:t>分级层面，最终方案在无缺失基线上的平均二次加权Kappa系数为0.293，严格准确率20.9%、相邻一级容差准确率54.2%；遮掩30%后分别变为0.234、19.0%与51.6%，分级指标随信息损失而下降，但未出现崩溃式退化，说明该方案对中等程度缺失具备一定稳健性。</w:t>
      </w:r>
    </w:p>
    <w:p>
      <w:pPr>
        <w:spacing w:after="40"/>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paper_missing.png"/>
                    <pic:cNvPicPr/>
                  </pic:nvPicPr>
                  <pic:blipFill>
                    <a:blip r:embed="rId11"/>
                    <a:stretch>
                      <a:fillRect/>
                    </a:stretch>
                  </pic:blipFill>
                  <pic:spPr>
                    <a:xfrm>
                      <a:off x="0" y="0"/>
                      <a:ext cx="5303520" cy="3093720"/>
                    </a:xfrm>
                    <a:prstGeom prst="rect"/>
                  </pic:spPr>
                </pic:pic>
              </a:graphicData>
            </a:graphic>
          </wp:inline>
        </w:drawing>
      </w:r>
    </w:p>
    <w:p>
      <w:pPr>
        <w:keepNext/>
        <w:spacing w:before="100" w:after="60"/>
        <w:jc w:val="center"/>
      </w:pPr>
      <w:r>
        <w:rPr>
          <w:rFonts w:ascii="Times New Roman" w:hAnsi="Times New Roman" w:eastAsia="黑体"/>
          <w:b/>
          <w:sz w:val="18"/>
        </w:rPr>
        <w:t>图2  不同特征遮掩比例下的连续预测性能</w:t>
      </w:r>
    </w:p>
    <w:p>
      <w:pPr>
        <w:keepNext/>
        <w:spacing w:before="140" w:after="80"/>
      </w:pPr>
      <w:r>
        <w:rPr>
          <w:rFonts w:ascii="Times New Roman" w:hAnsi="Times New Roman" w:eastAsia="黑体"/>
          <w:b/>
          <w:sz w:val="22"/>
        </w:rPr>
        <w:t>5.7.3  相对等级标定结果</w:t>
      </w:r>
    </w:p>
    <w:p>
      <w:pPr>
        <w:keepNext/>
        <w:spacing w:before="100" w:after="60"/>
        <w:jc w:val="center"/>
      </w:pPr>
      <w:r>
        <w:rPr>
          <w:rFonts w:ascii="Times New Roman" w:hAnsi="Times New Roman" w:eastAsia="黑体"/>
          <w:b/>
          <w:sz w:val="18"/>
        </w:rPr>
        <w:t>表11  两条相对等级构造路线的测试集结果</w:t>
      </w:r>
    </w:p>
    <w:tbl>
      <w:tblPr>
        <w:tblW w:type="auto" w:w="0"/>
        <w:jc w:val="center"/>
        <w:tblLayout w:type="fixed"/>
        <w:tblLook w:firstColumn="1" w:firstRow="1" w:lastColumn="0" w:lastRow="0" w:noHBand="0" w:noVBand="1" w:val="04A0"/>
      </w:tblPr>
      <w:tblGrid>
        <w:gridCol w:w="1860"/>
        <w:gridCol w:w="1860"/>
        <w:gridCol w:w="1860"/>
        <w:gridCol w:w="1860"/>
        <w:gridCol w:w="1860"/>
      </w:tblGrid>
      <w:tr>
        <w:trPr>
          <w:tblHeader/>
        </w:trPr>
        <w:tc>
          <w:tcPr>
            <w:tcW w:type="dxa" w:w="2381"/>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路线</w:t>
            </w:r>
          </w:p>
        </w:tc>
        <w:tc>
          <w:tcPr>
            <w:tcW w:type="dxa" w:w="1701"/>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平均二次加权Kappa</w:t>
            </w:r>
          </w:p>
        </w:tc>
        <w:tc>
          <w:tcPr>
            <w:tcW w:type="dxa" w:w="1361"/>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严格准确率</w:t>
            </w:r>
          </w:p>
        </w:tc>
        <w:tc>
          <w:tcPr>
            <w:tcW w:type="dxa" w:w="1814"/>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相邻一级容差准确率</w:t>
            </w:r>
          </w:p>
        </w:tc>
        <w:tc>
          <w:tcPr>
            <w:tcW w:type="dxa" w:w="1020"/>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6"/>
              </w:rPr>
              <w:t>最终选择</w:t>
            </w:r>
          </w:p>
        </w:tc>
      </w:tr>
      <w:tr>
        <w:tc>
          <w:tcPr>
            <w:tcW w:type="dxa" w:w="2381"/>
            <w:vAlign w:val="center"/>
            <w:tcBorders>
              <w:top w:val="nil"/>
              <w:bottom w:val="nil"/>
              <w:left w:val="nil"/>
              <w:right w:val="nil"/>
            </w:tcBorders>
          </w:tcPr>
          <w:p>
            <w:pPr>
              <w:spacing w:after="20"/>
              <w:jc w:val="center"/>
            </w:pPr>
            <w:r/>
            <w:r>
              <w:rPr>
                <w:rFonts w:ascii="Times New Roman" w:hAnsi="Times New Roman" w:eastAsia="宋体"/>
                <w:b w:val="0"/>
                <w:sz w:val="16"/>
              </w:rPr>
              <w:t>回归预测与分位标定</w:t>
            </w:r>
          </w:p>
        </w:tc>
        <w:tc>
          <w:tcPr>
            <w:tcW w:type="dxa" w:w="1701"/>
            <w:vAlign w:val="center"/>
            <w:tcBorders>
              <w:top w:val="nil"/>
              <w:bottom w:val="nil"/>
              <w:left w:val="nil"/>
              <w:right w:val="nil"/>
            </w:tcBorders>
          </w:tcPr>
          <w:p>
            <w:pPr>
              <w:spacing w:after="20"/>
              <w:jc w:val="center"/>
            </w:pPr>
            <w:r/>
            <w:r>
              <w:rPr>
                <w:rFonts w:ascii="Times New Roman" w:hAnsi="Times New Roman" w:eastAsia="宋体"/>
                <w:b w:val="0"/>
                <w:sz w:val="16"/>
              </w:rPr>
              <w:t>0.293</w:t>
            </w:r>
          </w:p>
        </w:tc>
        <w:tc>
          <w:tcPr>
            <w:tcW w:type="dxa" w:w="1361"/>
            <w:vAlign w:val="center"/>
            <w:tcBorders>
              <w:top w:val="nil"/>
              <w:bottom w:val="nil"/>
              <w:left w:val="nil"/>
              <w:right w:val="nil"/>
            </w:tcBorders>
          </w:tcPr>
          <w:p>
            <w:pPr>
              <w:spacing w:after="20"/>
              <w:jc w:val="center"/>
            </w:pPr>
            <w:r/>
            <w:r>
              <w:rPr>
                <w:rFonts w:ascii="Times New Roman" w:hAnsi="Times New Roman" w:eastAsia="宋体"/>
                <w:b w:val="0"/>
                <w:sz w:val="16"/>
              </w:rPr>
              <w:t>20.9%</w:t>
            </w:r>
          </w:p>
        </w:tc>
        <w:tc>
          <w:tcPr>
            <w:tcW w:type="dxa" w:w="1814"/>
            <w:vAlign w:val="center"/>
            <w:tcBorders>
              <w:top w:val="nil"/>
              <w:bottom w:val="nil"/>
              <w:left w:val="nil"/>
              <w:right w:val="nil"/>
            </w:tcBorders>
          </w:tcPr>
          <w:p>
            <w:pPr>
              <w:spacing w:after="20"/>
              <w:jc w:val="center"/>
            </w:pPr>
            <w:r/>
            <w:r>
              <w:rPr>
                <w:rFonts w:ascii="Times New Roman" w:hAnsi="Times New Roman" w:eastAsia="宋体"/>
                <w:b w:val="0"/>
                <w:sz w:val="16"/>
              </w:rPr>
              <w:t>54.2%</w:t>
            </w:r>
          </w:p>
        </w:tc>
        <w:tc>
          <w:tcPr>
            <w:tcW w:type="dxa" w:w="1020"/>
            <w:vAlign w:val="center"/>
            <w:tcBorders>
              <w:top w:val="nil"/>
              <w:bottom w:val="nil"/>
              <w:left w:val="nil"/>
              <w:right w:val="nil"/>
            </w:tcBorders>
          </w:tcPr>
          <w:p>
            <w:pPr>
              <w:spacing w:after="20"/>
              <w:jc w:val="center"/>
            </w:pPr>
            <w:r/>
            <w:r>
              <w:rPr>
                <w:rFonts w:ascii="Times New Roman" w:hAnsi="Times New Roman" w:eastAsia="宋体"/>
                <w:b w:val="0"/>
                <w:sz w:val="16"/>
              </w:rPr>
              <w:t>采用</w:t>
            </w:r>
          </w:p>
        </w:tc>
      </w:tr>
      <w:tr>
        <w:tc>
          <w:tcPr>
            <w:tcW w:type="dxa" w:w="2381"/>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直接多分类分级</w:t>
            </w:r>
          </w:p>
        </w:tc>
        <w:tc>
          <w:tcPr>
            <w:tcW w:type="dxa" w:w="1701"/>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0.254</w:t>
            </w:r>
          </w:p>
        </w:tc>
        <w:tc>
          <w:tcPr>
            <w:tcW w:type="dxa" w:w="1361"/>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22.9%</w:t>
            </w:r>
          </w:p>
        </w:tc>
        <w:tc>
          <w:tcPr>
            <w:tcW w:type="dxa" w:w="1814"/>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49.6%</w:t>
            </w:r>
          </w:p>
        </w:tc>
        <w:tc>
          <w:tcPr>
            <w:tcW w:type="dxa" w:w="1020"/>
            <w:vAlign w:val="center"/>
            <w:tcBorders>
              <w:top w:val="nil"/>
              <w:bottom w:val="single" w:sz="12" w:color="000000"/>
              <w:left w:val="nil"/>
              <w:right w:val="nil"/>
            </w:tcBorders>
          </w:tcPr>
          <w:p>
            <w:pPr>
              <w:spacing w:after="20"/>
              <w:jc w:val="center"/>
            </w:pPr>
            <w:r/>
            <w:r>
              <w:rPr>
                <w:rFonts w:ascii="Times New Roman" w:hAnsi="Times New Roman" w:eastAsia="宋体"/>
                <w:b w:val="0"/>
                <w:sz w:val="16"/>
              </w:rPr>
              <w:t>—</w:t>
            </w:r>
          </w:p>
        </w:tc>
      </w:tr>
    </w:tbl>
    <w:p>
      <w:pPr>
        <w:spacing w:before="0" w:after="0" w:line="240" w:lineRule="auto"/>
      </w:pPr>
      <w:r>
        <w:rPr>
          <w:sz w:val="12"/>
        </w:rPr>
        <w:t xml:space="preserve"> </w:t>
      </w:r>
    </w:p>
    <w:p>
      <w:pPr>
        <w:spacing w:line="312" w:lineRule="auto" w:after="60"/>
        <w:ind w:firstLine="420"/>
      </w:pPr>
      <w:r>
        <w:rPr>
          <w:rFonts w:ascii="Times New Roman" w:hAnsi="Times New Roman" w:eastAsia="宋体"/>
          <w:b w:val="0"/>
          <w:sz w:val="21"/>
        </w:rPr>
        <w:t>分级路线在训练集内部择优：五折交叉验证的折内二次加权Kappa系数分别为0.2996与0.2576，据此采用回归预测与分位标定路线，测试集仅用于报告、不参与选择。测试集上该路线的二次加权Kappa系数为0.293，直接多分类路线为0.254。该路线的严格准确率为20.9%，相邻一级容差准确率为54.2%，仍有45.8%的预测偏差超过一级，说明其相对等级预测能力有限，不宜将结果解释为精确人工评分。最终生成250款啤酒、50个感官维度的0—6相对等级表，完整结果另附。</w:t>
      </w:r>
    </w:p>
    <w:p>
      <w:pPr>
        <w:spacing w:after="40"/>
        <w:jc w:val="center"/>
      </w:pPr>
      <w:r>
        <w:drawing>
          <wp:inline xmlns:a="http://schemas.openxmlformats.org/drawingml/2006/main" xmlns:pic="http://schemas.openxmlformats.org/drawingml/2006/picture">
            <wp:extent cx="4846320" cy="2790305"/>
            <wp:docPr id="3" name="Picture 3"/>
            <wp:cNvGraphicFramePr>
              <a:graphicFrameLocks noChangeAspect="1"/>
            </wp:cNvGraphicFramePr>
            <a:graphic>
              <a:graphicData uri="http://schemas.openxmlformats.org/drawingml/2006/picture">
                <pic:pic>
                  <pic:nvPicPr>
                    <pic:cNvPr id="0" name="paper_grades.png"/>
                    <pic:cNvPicPr/>
                  </pic:nvPicPr>
                  <pic:blipFill>
                    <a:blip r:embed="rId12"/>
                    <a:stretch>
                      <a:fillRect/>
                    </a:stretch>
                  </pic:blipFill>
                  <pic:spPr>
                    <a:xfrm>
                      <a:off x="0" y="0"/>
                      <a:ext cx="4846320" cy="2790305"/>
                    </a:xfrm>
                    <a:prstGeom prst="rect"/>
                  </pic:spPr>
                </pic:pic>
              </a:graphicData>
            </a:graphic>
          </wp:inline>
        </w:drawing>
      </w:r>
    </w:p>
    <w:p>
      <w:pPr>
        <w:keepNext/>
        <w:spacing w:before="100" w:after="60"/>
        <w:jc w:val="center"/>
      </w:pPr>
      <w:r>
        <w:rPr>
          <w:rFonts w:ascii="Times New Roman" w:hAnsi="Times New Roman" w:eastAsia="黑体"/>
          <w:b/>
          <w:sz w:val="18"/>
        </w:rPr>
        <w:t>图3  250款啤酒在50个感官维度上的相对等级分布</w:t>
      </w:r>
    </w:p>
    <w:p>
      <w:pPr>
        <w:keepNext/>
        <w:spacing w:before="100" w:after="60"/>
        <w:jc w:val="center"/>
      </w:pPr>
      <w:r>
        <w:rPr>
          <w:rFonts w:ascii="Times New Roman" w:hAnsi="Times New Roman" w:eastAsia="黑体"/>
          <w:b/>
          <w:sz w:val="18"/>
        </w:rPr>
        <w:t>表12  相对等级结果示例</w:t>
      </w:r>
    </w:p>
    <w:tbl>
      <w:tblPr>
        <w:tblW w:type="auto" w:w="0"/>
        <w:jc w:val="center"/>
        <w:tblLayout w:type="fixed"/>
        <w:tblLook w:firstColumn="1" w:firstRow="1" w:lastColumn="0" w:lastRow="0" w:noHBand="0" w:noVBand="1" w:val="04A0"/>
      </w:tblPr>
      <w:tblGrid>
        <w:gridCol w:w="1162"/>
        <w:gridCol w:w="1162"/>
        <w:gridCol w:w="1162"/>
        <w:gridCol w:w="1162"/>
        <w:gridCol w:w="1162"/>
        <w:gridCol w:w="1162"/>
        <w:gridCol w:w="1162"/>
        <w:gridCol w:w="1162"/>
      </w:tblGrid>
      <w:tr>
        <w:trPr>
          <w:tblHeader/>
        </w:trPr>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样本编号</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风格</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整体评分</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酒花香气整体强度</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麦芽香气整体强度</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酒精感</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酸度</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甜度</w:t>
            </w:r>
          </w:p>
        </w:tc>
      </w:tr>
      <w:tr>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1</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Brut</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6</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5</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4</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4</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5</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2</w:t>
            </w:r>
          </w:p>
        </w:tc>
      </w:tr>
      <w:tr>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2</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Low/No alcohol</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0</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0</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0</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0</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5</w:t>
            </w:r>
          </w:p>
        </w:tc>
      </w:tr>
      <w:tr>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Blond</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2</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2</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2</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5</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4</w:t>
            </w:r>
          </w:p>
        </w:tc>
      </w:tr>
      <w:tr>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4</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Strong ale</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5</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4</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6</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5</w:t>
            </w:r>
          </w:p>
        </w:tc>
      </w:tr>
      <w:tr>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5</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Blond</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4</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5</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4</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2</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5</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1</w:t>
            </w:r>
          </w:p>
        </w:tc>
      </w:tr>
    </w:tbl>
    <w:p>
      <w:pPr>
        <w:spacing w:before="0" w:after="0" w:line="240" w:lineRule="auto"/>
      </w:pPr>
      <w:r>
        <w:rPr>
          <w:sz w:val="12"/>
        </w:rPr>
        <w:t xml:space="preserve"> </w:t>
      </w:r>
    </w:p>
    <w:p>
      <w:pPr>
        <w:keepNext/>
        <w:spacing w:before="140" w:after="80"/>
      </w:pPr>
      <w:r>
        <w:rPr>
          <w:rFonts w:ascii="Times New Roman" w:hAnsi="Times New Roman" w:eastAsia="黑体"/>
          <w:b/>
          <w:sz w:val="22"/>
        </w:rPr>
        <w:t>5.7.4  风格画像的描述性检查</w:t>
      </w:r>
    </w:p>
    <w:p>
      <w:pPr>
        <w:spacing w:line="312" w:lineRule="auto" w:after="60"/>
        <w:ind w:firstLine="420"/>
      </w:pPr>
      <w:r>
        <w:rPr>
          <w:rFonts w:ascii="Times New Roman" w:hAnsi="Times New Roman" w:eastAsia="宋体"/>
          <w:b w:val="0"/>
          <w:sz w:val="21"/>
        </w:rPr>
        <w:t>为检查相对等级是否完全背离风格特征，按22种风格汇总各维度等级均值。该检查只用于发现明显异常，不作为独立验证，也不以风格先验替代样本实测标签。</w:t>
      </w:r>
    </w:p>
    <w:p>
      <w:pPr>
        <w:keepNext/>
        <w:spacing w:before="100" w:after="60"/>
        <w:jc w:val="center"/>
      </w:pPr>
      <w:r>
        <w:rPr>
          <w:rFonts w:ascii="Times New Roman" w:hAnsi="Times New Roman" w:eastAsia="黑体"/>
          <w:b/>
          <w:sz w:val="18"/>
        </w:rPr>
        <w:t>表13  代表性风格的相对等级均值</w:t>
      </w:r>
    </w:p>
    <w:tbl>
      <w:tblPr>
        <w:tblW w:type="auto" w:w="0"/>
        <w:jc w:val="center"/>
        <w:tblLayout w:type="fixed"/>
        <w:tblLook w:firstColumn="1" w:firstRow="1" w:lastColumn="0" w:lastRow="0" w:noHBand="0" w:noVBand="1" w:val="04A0"/>
      </w:tblPr>
      <w:tblGrid>
        <w:gridCol w:w="1162"/>
        <w:gridCol w:w="1162"/>
        <w:gridCol w:w="1162"/>
        <w:gridCol w:w="1162"/>
        <w:gridCol w:w="1162"/>
        <w:gridCol w:w="1162"/>
        <w:gridCol w:w="1162"/>
        <w:gridCol w:w="1162"/>
      </w:tblGrid>
      <w:tr>
        <w:trPr>
          <w:tblHeader/>
        </w:trPr>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风格</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样本数</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酒精感</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酸度</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野菌气息</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烘烤麦芽香</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酯香整体强度</w:t>
            </w:r>
          </w:p>
        </w:tc>
        <w:tc>
          <w:tcPr>
            <w:tcW w:type="dxa" w:w="1162"/>
            <w:vAlign w:val="center"/>
            <w:tcBorders>
              <w:top w:val="single" w:sz="12" w:color="000000"/>
              <w:bottom w:val="single" w:sz="6" w:color="000000"/>
              <w:left w:val="nil"/>
              <w:right w:val="nil"/>
            </w:tcBorders>
          </w:tcPr>
          <w:p>
            <w:pPr>
              <w:spacing w:after="20"/>
              <w:jc w:val="center"/>
            </w:pPr>
            <w:r/>
            <w:r>
              <w:rPr>
                <w:rFonts w:ascii="Times New Roman" w:hAnsi="Times New Roman" w:eastAsia="宋体"/>
                <w:b/>
                <w:sz w:val="15"/>
              </w:rPr>
              <w:t>整体评分</w:t>
            </w:r>
          </w:p>
        </w:tc>
      </w:tr>
      <w:tr>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Tripel</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28</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4.57</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3.07</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3.75</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3.46</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3.43</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3.46</w:t>
            </w:r>
          </w:p>
        </w:tc>
      </w:tr>
      <w:tr>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Kriek</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10</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1.10</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5.80</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3.80</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3.30</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4.80</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2.00</w:t>
            </w:r>
          </w:p>
        </w:tc>
      </w:tr>
      <w:tr>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Lambic</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11</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1.18</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5.91</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4.64</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3.27</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2.27</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3.09</w:t>
            </w:r>
          </w:p>
        </w:tc>
      </w:tr>
      <w:tr>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Stout/Porter</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13</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3.85</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3.08</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3.92</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5.38</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3.00</w:t>
            </w:r>
          </w:p>
        </w:tc>
        <w:tc>
          <w:tcPr>
            <w:tcW w:type="dxa" w:w="1162"/>
            <w:vAlign w:val="center"/>
            <w:tcBorders>
              <w:top w:val="nil"/>
              <w:bottom w:val="nil"/>
              <w:left w:val="nil"/>
              <w:right w:val="nil"/>
            </w:tcBorders>
          </w:tcPr>
          <w:p>
            <w:pPr>
              <w:spacing w:after="20"/>
              <w:jc w:val="center"/>
            </w:pPr>
            <w:r/>
            <w:r>
              <w:rPr>
                <w:rFonts w:ascii="Times New Roman" w:hAnsi="Times New Roman" w:eastAsia="宋体"/>
                <w:b w:val="0"/>
                <w:sz w:val="15"/>
              </w:rPr>
              <w:t>2.54</w:t>
            </w:r>
          </w:p>
        </w:tc>
      </w:tr>
      <w:tr>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Pils/Lager</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11</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0.82</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3.09</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4.55</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2.82</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0.82</w:t>
            </w:r>
          </w:p>
        </w:tc>
        <w:tc>
          <w:tcPr>
            <w:tcW w:type="dxa" w:w="1162"/>
            <w:vAlign w:val="center"/>
            <w:tcBorders>
              <w:top w:val="nil"/>
              <w:bottom w:val="single" w:sz="12" w:color="000000"/>
              <w:left w:val="nil"/>
              <w:right w:val="nil"/>
            </w:tcBorders>
          </w:tcPr>
          <w:p>
            <w:pPr>
              <w:spacing w:after="20"/>
              <w:jc w:val="center"/>
            </w:pPr>
            <w:r/>
            <w:r>
              <w:rPr>
                <w:rFonts w:ascii="Times New Roman" w:hAnsi="Times New Roman" w:eastAsia="宋体"/>
                <w:b w:val="0"/>
                <w:sz w:val="15"/>
              </w:rPr>
              <w:t>1.45</w:t>
            </w:r>
          </w:p>
        </w:tc>
      </w:tr>
    </w:tbl>
    <w:p>
      <w:pPr>
        <w:spacing w:before="0" w:after="0" w:line="240" w:lineRule="auto"/>
      </w:pPr>
      <w:r>
        <w:rPr>
          <w:sz w:val="12"/>
        </w:rPr>
        <w:t xml:space="preserve"> </w:t>
      </w:r>
    </w:p>
    <w:p>
      <w:pPr>
        <w:spacing w:line="312" w:lineRule="auto" w:after="60"/>
        <w:ind w:firstLine="420"/>
      </w:pPr>
      <w:r>
        <w:rPr>
          <w:rFonts w:ascii="Times New Roman" w:hAnsi="Times New Roman" w:eastAsia="宋体"/>
          <w:b w:val="0"/>
          <w:sz w:val="21"/>
        </w:rPr>
        <w:t>Kriek与Lambic的酸度较高，Stout/Porter的烘烤麦芽香较高，Tripel的酒精感较高，这些特征与相应风格的一般认识一致。与此同时，Pils/Lager的野菌气息等级均值为4.55，与其清爽风格预期并不完全一致，需要结合原始测量进一步核查。因此，风格画像仅作为描述性合理性检查。</w:t>
      </w:r>
    </w:p>
    <w:p>
      <w:pPr>
        <w:spacing w:after="40"/>
        <w:jc w:val="center"/>
      </w:pPr>
      <w:r>
        <w:drawing>
          <wp:inline xmlns:a="http://schemas.openxmlformats.org/drawingml/2006/main" xmlns:pic="http://schemas.openxmlformats.org/drawingml/2006/picture">
            <wp:extent cx="4572000" cy="3478696"/>
            <wp:docPr id="4" name="Picture 4"/>
            <wp:cNvGraphicFramePr>
              <a:graphicFrameLocks noChangeAspect="1"/>
            </wp:cNvGraphicFramePr>
            <a:graphic>
              <a:graphicData uri="http://schemas.openxmlformats.org/drawingml/2006/picture">
                <pic:pic>
                  <pic:nvPicPr>
                    <pic:cNvPr id="0" name="paper_style.png"/>
                    <pic:cNvPicPr/>
                  </pic:nvPicPr>
                  <pic:blipFill>
                    <a:blip r:embed="rId13"/>
                    <a:stretch>
                      <a:fillRect/>
                    </a:stretch>
                  </pic:blipFill>
                  <pic:spPr>
                    <a:xfrm>
                      <a:off x="0" y="0"/>
                      <a:ext cx="4572000" cy="3478696"/>
                    </a:xfrm>
                    <a:prstGeom prst="rect"/>
                  </pic:spPr>
                </pic:pic>
              </a:graphicData>
            </a:graphic>
          </wp:inline>
        </w:drawing>
      </w:r>
    </w:p>
    <w:p>
      <w:pPr>
        <w:keepNext/>
        <w:spacing w:before="100" w:after="60"/>
        <w:jc w:val="center"/>
      </w:pPr>
      <w:r>
        <w:rPr>
          <w:rFonts w:ascii="Times New Roman" w:hAnsi="Times New Roman" w:eastAsia="黑体"/>
          <w:b/>
          <w:sz w:val="18"/>
        </w:rPr>
        <w:t>图4  各啤酒风格的相对感官画像</w:t>
      </w:r>
    </w:p>
    <w:p>
      <w:pPr>
        <w:keepNext/>
        <w:spacing w:before="200" w:after="120"/>
      </w:pPr>
      <w:r>
        <w:rPr>
          <w:rFonts w:ascii="Times New Roman" w:hAnsi="Times New Roman" w:eastAsia="黑体"/>
          <w:b/>
          <w:sz w:val="26"/>
        </w:rPr>
        <w:t>5.8  模型评价</w:t>
      </w:r>
    </w:p>
    <w:p>
      <w:pPr>
        <w:spacing w:line="312" w:lineRule="auto" w:after="60"/>
        <w:ind w:firstLine="420"/>
      </w:pPr>
      <w:r>
        <w:rPr>
          <w:rFonts w:ascii="Times New Roman" w:hAnsi="Times New Roman" w:eastAsia="宋体"/>
          <w:b w:val="0"/>
          <w:sz w:val="21"/>
        </w:rPr>
        <w:t>本文方法的主要优点是：统一预处理保证三个问题的数据口径一致；连续预测与相对等级构造分离，避免将连续标签直接取整；候选模型通过训练集交叉验证选型，测试集不参与选择；缺失实验在训练与测试同步遮掩的条件下比较完整方案，能够量化性能对信息损失的敏感程度。</w:t>
      </w:r>
    </w:p>
    <w:p>
      <w:pPr>
        <w:spacing w:line="312" w:lineRule="auto" w:after="60"/>
        <w:ind w:firstLine="420"/>
      </w:pPr>
      <w:r>
        <w:rPr>
          <w:rFonts w:ascii="Times New Roman" w:hAnsi="Times New Roman" w:eastAsia="宋体"/>
          <w:b w:val="0"/>
          <w:sz w:val="21"/>
        </w:rPr>
        <w:t>模型仍存在四方面局限。其一，样本量有限而化学指标较多，部分感官维度的决定系数仍为负，不能据此作出稳定的因果解释。其二，0—6结果由经验分位数构造，只表示样本群体内部的相对等级。其三，随机遮掩不等同于真实缺失机制，缺失实验结论不能外推到所有缺失情形。其四，两套缺失方案同时改变了模型与缺失处理方式，不能将性能差异单独归因于均值填补。后续可采用嵌套交叉验证、序数回归和更贴近实际机制的缺失模拟进一步检验。</w:t>
      </w:r>
    </w:p>
    <w:p>
      <w:pPr>
        <w:spacing w:line="312" w:lineRule="auto" w:after="60"/>
        <w:ind w:firstLine="420"/>
      </w:pPr>
      <w:r>
        <w:rPr>
          <w:rFonts w:ascii="Times New Roman" w:hAnsi="Times New Roman" w:eastAsia="宋体"/>
          <w:b w:val="0"/>
          <w:sz w:val="21"/>
        </w:rPr>
        <w:t>为检验数据清洗口径对结论的影响，本文补充了一项敏感性分析：若将疑似异常的统计阈值也限定为仅由训练集估计，则位于测试集的两个极端观测不在建模阶段处理。此时岭回归与偏最小二乘回归的测试集平均决定系数分别降至-1.439与-2.200，而随机森林仍为0.218，与全样本清洗下的结果一致。这说明所选树模型对未清洗的极端值具有稳健性，而线性基线对数据质量口径较为敏感。需要强调的是，该结果只能说明随机森林对本次数据清洗口径的变化较稳健，并不能证明整个验证流程完全独立于测试集的化学测量信息。</w:t>
      </w:r>
    </w:p>
    <w:p>
      <w:pPr>
        <w:keepNext/>
        <w:spacing w:before="200" w:after="120"/>
      </w:pPr>
      <w:r>
        <w:rPr>
          <w:rFonts w:ascii="Times New Roman" w:hAnsi="Times New Roman" w:eastAsia="黑体"/>
          <w:b/>
          <w:sz w:val="26"/>
        </w:rPr>
        <w:t>5.9  问题一小结</w:t>
      </w:r>
    </w:p>
    <w:p>
      <w:pPr>
        <w:keepLines/>
        <w:spacing w:line="312" w:lineRule="auto" w:after="60"/>
        <w:ind w:firstLine="420"/>
      </w:pPr>
      <w:r>
        <w:rPr>
          <w:rFonts w:ascii="Times New Roman" w:hAnsi="Times New Roman" w:eastAsia="宋体"/>
          <w:b w:val="0"/>
          <w:sz w:val="21"/>
        </w:rPr>
        <w:t>本文建立了“连续指标回归—相对等级标定—缺失条件检验”的问题一求解框架。经训练集交叉验证，随机森林表现最佳，测试集50维平均决定系数为0.218，43个维度的决定系数为正。回归预测与分位标定路线的平均二次加权Kappa系数为0.293，据此生成250×50相对等级表。缺失压力测试表明，特征信息减少时模型性能总体下降；风格画像提供了描述性检查，但不替代定量评价。上述结果与统一预处理共同构成后续问题二关键因素分析和问题三风格条件生成的数据基础。</w:t>
      </w: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问题一 数据缺失条件下的感官评分——模型建立与求解</dc:title>
  <dc:subject>数学建模论文问题一完整稿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