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7D" w:rsidRDefault="00FF0765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 xml:space="preserve">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:rsidR="00CD1A7D" w:rsidRDefault="00FF0765">
      <w:pPr>
        <w:spacing w:line="500" w:lineRule="exact"/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学院：</w:t>
      </w:r>
      <w:r>
        <w:rPr>
          <w:rFonts w:hint="eastAsia"/>
          <w:b/>
          <w:bCs/>
          <w:u w:val="single"/>
        </w:rPr>
        <w:t>经济</w:t>
      </w:r>
      <w:r>
        <w:rPr>
          <w:rFonts w:hint="eastAsia"/>
          <w:b/>
          <w:bCs/>
          <w:u w:val="single"/>
        </w:rPr>
        <w:t>学院</w:t>
      </w:r>
      <w:r>
        <w:rPr>
          <w:rFonts w:hint="eastAsia"/>
          <w:b/>
          <w:bCs/>
          <w:u w:val="single"/>
        </w:rPr>
        <w:t xml:space="preserve">           </w:t>
      </w:r>
      <w:r>
        <w:rPr>
          <w:rFonts w:hint="eastAsia"/>
          <w:b/>
          <w:bCs/>
          <w:u w:val="single"/>
        </w:rPr>
        <w:t>加试科目：</w:t>
      </w:r>
      <w:r>
        <w:rPr>
          <w:rFonts w:hint="eastAsia"/>
          <w:b/>
          <w:bCs/>
          <w:u w:val="single"/>
        </w:rPr>
        <w:t>国际经济学</w:t>
      </w:r>
    </w:p>
    <w:p w:rsidR="00CD1A7D" w:rsidRDefault="00CD1A7D">
      <w:pPr>
        <w:rPr>
          <w:b/>
        </w:rPr>
      </w:pP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一、国际贸易概览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国际贸易基本概念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国际贸易基本分类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国际贸易产生条件和发展过程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二、国际贸易理论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斯密绝对优势理论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李嘉图比较优势理论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掌握赫克歇尔－俄林要素禀赋理论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里昂</w:t>
      </w:r>
      <w:proofErr w:type="gramStart"/>
      <w:r>
        <w:rPr>
          <w:rFonts w:ascii="宋体" w:hAnsi="宋体" w:hint="eastAsia"/>
          <w:szCs w:val="21"/>
        </w:rPr>
        <w:t>惕</w:t>
      </w:r>
      <w:proofErr w:type="gramEnd"/>
      <w:r>
        <w:rPr>
          <w:rFonts w:ascii="宋体" w:hAnsi="宋体" w:hint="eastAsia"/>
          <w:szCs w:val="21"/>
        </w:rPr>
        <w:t>夫之</w:t>
      </w:r>
      <w:proofErr w:type="gramStart"/>
      <w:r>
        <w:rPr>
          <w:rFonts w:ascii="宋体" w:hAnsi="宋体" w:hint="eastAsia"/>
          <w:szCs w:val="21"/>
        </w:rPr>
        <w:t>谜及其</w:t>
      </w:r>
      <w:proofErr w:type="gramEnd"/>
      <w:r>
        <w:rPr>
          <w:rFonts w:ascii="宋体" w:hAnsi="宋体" w:hint="eastAsia"/>
          <w:szCs w:val="21"/>
        </w:rPr>
        <w:t>解释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当代国际贸易理论与传统国际贸易理论的区别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>
        <w:rPr>
          <w:rFonts w:ascii="宋体" w:hAnsi="宋体" w:hint="eastAsia"/>
          <w:szCs w:val="21"/>
        </w:rPr>
        <w:t>产品生命周期与国际贸易模式的变动关系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>
        <w:rPr>
          <w:rFonts w:ascii="宋体" w:hAnsi="宋体" w:hint="eastAsia"/>
          <w:szCs w:val="21"/>
        </w:rPr>
        <w:t>国家钻石理论的内容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三、国际贸易政策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国际贸易政策的概念、</w:t>
      </w:r>
      <w:r>
        <w:rPr>
          <w:rFonts w:ascii="宋体" w:hAnsi="宋体" w:hint="eastAsia"/>
          <w:szCs w:val="21"/>
        </w:rPr>
        <w:t>发展和演变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贸易保护的传统依据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szCs w:val="21"/>
        </w:rPr>
        <w:t>保护幼稚工业论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贸易保护的新理论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四、关税措施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关税概念和作用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关税措施的主要种类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反倾销税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szCs w:val="21"/>
        </w:rPr>
        <w:t>反补贴税的概念、征收的条件及其影响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关税水平、关税的名义保护率和有效保护率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海关税则和关税的征收方法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五、非关税壁垒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非关税壁垒的含义和作用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各类非关税壁垒措施的特点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进口配额的含义及配额与关税的区别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技术性贸易壁垒产生的原因、特点和影响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六、鼓励出口和出口管制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补贴的含义及对补贴的分析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鼓励出口的主要措施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出口管制概念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形式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七、区域经济一体化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1.</w:t>
      </w:r>
      <w:r>
        <w:rPr>
          <w:rFonts w:ascii="宋体" w:hAnsi="宋体" w:hint="eastAsia"/>
          <w:szCs w:val="21"/>
        </w:rPr>
        <w:t>经济一体化概念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自由贸易区、关税同盟和共同市场的含义及区别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经济一体化形成和发展及对国际贸易影响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贸易转移及贸易创造的含义及分析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八、关贸总协定和世界贸易组织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关税与贸易总协定的产生与发展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世界贸易组织的产生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发展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职能和基本原则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中国加入世界贸易组织的历程</w:t>
      </w:r>
      <w:r>
        <w:rPr>
          <w:rFonts w:ascii="宋体" w:hAnsi="宋体" w:hint="eastAsia"/>
          <w:szCs w:val="21"/>
        </w:rPr>
        <w:t>与发展</w:t>
      </w:r>
    </w:p>
    <w:p w:rsidR="00CD1A7D" w:rsidRDefault="00FF0765" w:rsidP="00B13E72">
      <w:pPr>
        <w:ind w:leftChars="-100" w:left="-240" w:firstLineChars="100" w:firstLine="280"/>
        <w:jc w:val="left"/>
        <w:rPr>
          <w:rFonts w:ascii="黑体" w:eastAsia="黑体" w:hAnsi="宋体" w:cs="宋体"/>
          <w:sz w:val="28"/>
          <w:szCs w:val="28"/>
        </w:rPr>
      </w:pPr>
      <w:r>
        <w:rPr>
          <w:rFonts w:ascii="黑体" w:eastAsia="黑体" w:hAnsi="宋体" w:cs="宋体" w:hint="eastAsia"/>
          <w:sz w:val="28"/>
          <w:szCs w:val="28"/>
        </w:rPr>
        <w:t>九、国民收入核算与国际收支平衡</w:t>
      </w:r>
    </w:p>
    <w:p w:rsidR="00CD1A7D" w:rsidRDefault="00FF0765">
      <w:pPr>
        <w:pStyle w:val="a3"/>
        <w:ind w:firstLineChars="200" w:firstLine="480"/>
        <w:rPr>
          <w:rFonts w:hAnsi="宋体" w:cs="宋体"/>
        </w:rPr>
      </w:pPr>
      <w:r>
        <w:rPr>
          <w:rFonts w:hAnsi="宋体" w:cs="宋体" w:hint="eastAsia"/>
        </w:rPr>
        <w:t>1.</w:t>
      </w:r>
      <w:r>
        <w:rPr>
          <w:rFonts w:hAnsi="宋体" w:cs="宋体" w:hint="eastAsia"/>
        </w:rPr>
        <w:t>国民收入账户</w:t>
      </w:r>
    </w:p>
    <w:p w:rsidR="00CD1A7D" w:rsidRDefault="00FF0765">
      <w:pPr>
        <w:pStyle w:val="a3"/>
        <w:ind w:leftChars="200" w:left="480"/>
        <w:rPr>
          <w:rFonts w:hAnsi="宋体" w:cs="宋体"/>
        </w:rPr>
      </w:pPr>
      <w:r>
        <w:rPr>
          <w:rFonts w:hAnsi="宋体" w:cs="宋体" w:hint="eastAsia"/>
        </w:rPr>
        <w:t>2.</w:t>
      </w:r>
      <w:r>
        <w:rPr>
          <w:rFonts w:hAnsi="宋体" w:cs="宋体" w:hint="eastAsia"/>
        </w:rPr>
        <w:t>开放经济中的国民收入账户</w:t>
      </w:r>
      <w:r>
        <w:rPr>
          <w:rFonts w:hAnsi="宋体" w:cs="宋体" w:hint="eastAsia"/>
        </w:rPr>
        <w:br/>
      </w:r>
      <w:r>
        <w:rPr>
          <w:rFonts w:hAnsi="宋体" w:cs="宋体" w:hint="eastAsia"/>
        </w:rPr>
        <w:t>3.</w:t>
      </w:r>
      <w:r>
        <w:rPr>
          <w:rFonts w:hAnsi="宋体" w:cs="宋体" w:hint="eastAsia"/>
        </w:rPr>
        <w:t>国际收支账户</w:t>
      </w:r>
      <w:bookmarkStart w:id="0" w:name="_GoBack"/>
      <w:bookmarkEnd w:id="0"/>
    </w:p>
    <w:p w:rsidR="00CD1A7D" w:rsidRDefault="00FF0765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十、</w:t>
      </w:r>
      <w:r>
        <w:rPr>
          <w:rFonts w:ascii="黑体" w:eastAsia="黑体" w:hAnsi="黑体" w:cs="黑体" w:hint="eastAsia"/>
          <w:sz w:val="28"/>
          <w:szCs w:val="28"/>
        </w:rPr>
        <w:t>汇率和外汇市场</w:t>
      </w:r>
    </w:p>
    <w:p w:rsidR="00CD1A7D" w:rsidRDefault="00FF0765">
      <w:pPr>
        <w:jc w:val="left"/>
        <w:rPr>
          <w:rFonts w:asciiTheme="minorEastAsia" w:hAnsiTheme="minorEastAsia" w:cstheme="minorEastAsia"/>
        </w:rPr>
      </w:pP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外汇</w:t>
      </w:r>
      <w:r>
        <w:rPr>
          <w:rFonts w:asciiTheme="minorEastAsia" w:hAnsiTheme="minorEastAsia" w:cstheme="minorEastAsia" w:hint="eastAsia"/>
        </w:rPr>
        <w:t>与汇率</w:t>
      </w:r>
    </w:p>
    <w:p w:rsidR="00CD1A7D" w:rsidRDefault="00FF0765">
      <w:pPr>
        <w:numPr>
          <w:ilvl w:val="0"/>
          <w:numId w:val="1"/>
        </w:numPr>
        <w:ind w:firstLineChars="20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外汇市场</w:t>
      </w:r>
    </w:p>
    <w:p w:rsidR="00CD1A7D" w:rsidRDefault="00FF0765">
      <w:pPr>
        <w:numPr>
          <w:ilvl w:val="0"/>
          <w:numId w:val="1"/>
        </w:numPr>
        <w:ind w:firstLineChars="20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外汇交易：即期与远期交易</w:t>
      </w:r>
      <w:r>
        <w:rPr>
          <w:rFonts w:asciiTheme="minorEastAsia" w:hAnsiTheme="minorEastAsia" w:cstheme="minorEastAsia" w:hint="eastAsia"/>
        </w:rPr>
        <w:t xml:space="preserve">   </w:t>
      </w:r>
    </w:p>
    <w:p w:rsidR="00CD1A7D" w:rsidRDefault="00FF0765">
      <w:pPr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十一、汇率决定理论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利率平价理论</w:t>
      </w:r>
      <w:r>
        <w:rPr>
          <w:rFonts w:asciiTheme="minorEastAsia" w:hAnsiTheme="minorEastAsia" w:cstheme="minorEastAsia" w:hint="eastAsia"/>
        </w:rPr>
        <w:br/>
        <w:t xml:space="preserve">    2.</w:t>
      </w:r>
      <w:r>
        <w:rPr>
          <w:rFonts w:asciiTheme="minorEastAsia" w:hAnsiTheme="minorEastAsia" w:cstheme="minorEastAsia" w:hint="eastAsia"/>
        </w:rPr>
        <w:t>汇率超调理论</w:t>
      </w:r>
      <w:r>
        <w:rPr>
          <w:rFonts w:asciiTheme="minorEastAsia" w:hAnsiTheme="minorEastAsia" w:cstheme="minorEastAsia" w:hint="eastAsia"/>
        </w:rPr>
        <w:t xml:space="preserve">   </w:t>
      </w:r>
    </w:p>
    <w:p w:rsidR="00CD1A7D" w:rsidRDefault="00FF0765">
      <w:pPr>
        <w:numPr>
          <w:ilvl w:val="0"/>
          <w:numId w:val="2"/>
        </w:numPr>
        <w:ind w:firstLineChars="20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购买力平价理论</w:t>
      </w:r>
    </w:p>
    <w:p w:rsidR="00CD1A7D" w:rsidRDefault="00FF0765">
      <w:pPr>
        <w:numPr>
          <w:ilvl w:val="0"/>
          <w:numId w:val="2"/>
        </w:numPr>
        <w:ind w:firstLineChars="20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货币分析法</w:t>
      </w:r>
    </w:p>
    <w:p w:rsidR="00CD1A7D" w:rsidRDefault="00FF0765">
      <w:pPr>
        <w:ind w:left="1"/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十二、产出与短期汇率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开放经济环境下的总需求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开放经济的短期均衡：</w:t>
      </w:r>
      <w:r>
        <w:rPr>
          <w:rFonts w:asciiTheme="minorEastAsia" w:hAnsiTheme="minorEastAsia" w:cstheme="minorEastAsia" w:hint="eastAsia"/>
        </w:rPr>
        <w:t>DD</w:t>
      </w:r>
      <w:r>
        <w:rPr>
          <w:rFonts w:asciiTheme="minorEastAsia" w:hAnsiTheme="minorEastAsia" w:cstheme="minorEastAsia" w:hint="eastAsia"/>
        </w:rPr>
        <w:t>曲线和</w:t>
      </w:r>
      <w:r>
        <w:rPr>
          <w:rFonts w:asciiTheme="minorEastAsia" w:hAnsiTheme="minorEastAsia" w:cstheme="minorEastAsia" w:hint="eastAsia"/>
        </w:rPr>
        <w:t>AA</w:t>
      </w:r>
      <w:r>
        <w:rPr>
          <w:rFonts w:asciiTheme="minorEastAsia" w:hAnsiTheme="minorEastAsia" w:cstheme="minorEastAsia" w:hint="eastAsia"/>
        </w:rPr>
        <w:t>曲线的结合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浮动汇率制度下的</w:t>
      </w:r>
      <w:r>
        <w:rPr>
          <w:rFonts w:asciiTheme="minorEastAsia" w:hAnsiTheme="minorEastAsia" w:cstheme="minorEastAsia" w:hint="eastAsia"/>
        </w:rPr>
        <w:t>货币政策和财政政策暂时变动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通货膨胀偏向和政策制定中的其他问题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贸易流量的逐步调整和经常项目的动态分析</w:t>
      </w:r>
    </w:p>
    <w:p w:rsidR="00CD1A7D" w:rsidRDefault="00FF0765">
      <w:pPr>
        <w:ind w:left="1"/>
        <w:jc w:val="left"/>
        <w:rPr>
          <w:b/>
          <w:bCs/>
        </w:rPr>
      </w:pPr>
      <w:r>
        <w:rPr>
          <w:rFonts w:ascii="黑体" w:eastAsia="黑体" w:hAnsi="黑体" w:cs="黑体" w:hint="eastAsia"/>
          <w:sz w:val="28"/>
          <w:szCs w:val="28"/>
        </w:rPr>
        <w:t>十三、固定汇率和外汇干预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中央银行干预与货币供给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中央银行怎样固定汇率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固定汇率下的货币政策和财政</w:t>
      </w:r>
      <w:r>
        <w:rPr>
          <w:rFonts w:asciiTheme="minorEastAsia" w:hAnsiTheme="minorEastAsia" w:cstheme="minorEastAsia" w:hint="eastAsia"/>
        </w:rPr>
        <w:t>政策暂时变动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收支平衡危机和资本抽逃</w:t>
      </w:r>
    </w:p>
    <w:p w:rsidR="00CD1A7D" w:rsidRDefault="00FF0765">
      <w:pPr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十四、国际货币体系：</w:t>
      </w:r>
      <w:r>
        <w:rPr>
          <w:rFonts w:ascii="黑体" w:eastAsia="黑体" w:hAnsi="黑体" w:cs="黑体" w:hint="eastAsia"/>
          <w:sz w:val="28"/>
          <w:szCs w:val="28"/>
        </w:rPr>
        <w:t>1870-1973</w:t>
      </w:r>
      <w:r>
        <w:rPr>
          <w:rFonts w:ascii="黑体" w:eastAsia="黑体" w:hAnsi="黑体" w:cs="黑体" w:hint="eastAsia"/>
          <w:sz w:val="28"/>
          <w:szCs w:val="28"/>
        </w:rPr>
        <w:t>年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开放经济中的宏观经济政策目标</w:t>
      </w:r>
      <w:r>
        <w:rPr>
          <w:rFonts w:asciiTheme="minorEastAsia" w:hAnsiTheme="minorEastAsia" w:cstheme="minorEastAsia" w:hint="eastAsia"/>
        </w:rPr>
        <w:br/>
        <w:t xml:space="preserve">    2.</w:t>
      </w:r>
      <w:r>
        <w:rPr>
          <w:rFonts w:asciiTheme="minorEastAsia" w:hAnsiTheme="minorEastAsia" w:cstheme="minorEastAsia" w:hint="eastAsia"/>
        </w:rPr>
        <w:t>金本位制度</w:t>
      </w:r>
      <w:r>
        <w:rPr>
          <w:rFonts w:asciiTheme="minorEastAsia" w:hAnsiTheme="minorEastAsia" w:cstheme="minorEastAsia" w:hint="eastAsia"/>
        </w:rPr>
        <w:br/>
        <w:t xml:space="preserve">    3.</w:t>
      </w:r>
      <w:r>
        <w:rPr>
          <w:rFonts w:asciiTheme="minorEastAsia" w:hAnsiTheme="minorEastAsia" w:cstheme="minorEastAsia" w:hint="eastAsia"/>
        </w:rPr>
        <w:t>布雷顿森林体系</w:t>
      </w:r>
      <w:r>
        <w:rPr>
          <w:rFonts w:asciiTheme="minorEastAsia" w:hAnsiTheme="minorEastAsia" w:cstheme="minorEastAsia" w:hint="eastAsia"/>
        </w:rPr>
        <w:br/>
        <w:t xml:space="preserve">    4.</w:t>
      </w:r>
      <w:r>
        <w:rPr>
          <w:rFonts w:asciiTheme="minorEastAsia" w:hAnsiTheme="minorEastAsia" w:cstheme="minorEastAsia" w:hint="eastAsia"/>
        </w:rPr>
        <w:t>布雷顿森林体系下的政策选择分析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lastRenderedPageBreak/>
        <w:t xml:space="preserve">    5.</w:t>
      </w:r>
      <w:r>
        <w:rPr>
          <w:rFonts w:asciiTheme="minorEastAsia" w:hAnsiTheme="minorEastAsia" w:cstheme="minorEastAsia" w:hint="eastAsia"/>
        </w:rPr>
        <w:t>世界性的通货膨胀和向浮动汇率制转轨</w:t>
      </w:r>
    </w:p>
    <w:p w:rsidR="00CD1A7D" w:rsidRDefault="00CD1A7D">
      <w:pPr>
        <w:jc w:val="left"/>
        <w:rPr>
          <w:b/>
        </w:rPr>
      </w:pPr>
    </w:p>
    <w:p w:rsidR="00CD1A7D" w:rsidRDefault="00CD1A7D">
      <w:pPr>
        <w:jc w:val="left"/>
        <w:rPr>
          <w:b/>
        </w:rPr>
      </w:pPr>
    </w:p>
    <w:p w:rsidR="00CD1A7D" w:rsidRDefault="00FF0765" w:rsidP="00B13E72">
      <w:pPr>
        <w:ind w:left="1205" w:hangingChars="500" w:hanging="1205"/>
        <w:rPr>
          <w:b/>
          <w:bCs/>
        </w:rPr>
      </w:pPr>
      <w:r>
        <w:rPr>
          <w:rFonts w:hint="eastAsia"/>
          <w:b/>
          <w:bCs/>
        </w:rPr>
        <w:t>参考书目：</w:t>
      </w:r>
      <w:r>
        <w:rPr>
          <w:b/>
          <w:bCs/>
        </w:rPr>
        <w:t>保罗</w:t>
      </w:r>
      <w:r>
        <w:rPr>
          <w:rFonts w:hint="eastAsia"/>
          <w:b/>
          <w:bCs/>
        </w:rPr>
        <w:t>•</w:t>
      </w:r>
      <w:r>
        <w:rPr>
          <w:b/>
          <w:bCs/>
        </w:rPr>
        <w:t>克鲁格曼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茅瑞思</w:t>
      </w:r>
      <w:r>
        <w:rPr>
          <w:rFonts w:hint="eastAsia"/>
          <w:b/>
          <w:bCs/>
        </w:rPr>
        <w:t>•</w:t>
      </w:r>
      <w:r>
        <w:rPr>
          <w:rFonts w:hint="eastAsia"/>
          <w:b/>
          <w:bCs/>
        </w:rPr>
        <w:t>奥伯斯法尔德</w:t>
      </w:r>
      <w:r>
        <w:rPr>
          <w:b/>
          <w:bCs/>
        </w:rPr>
        <w:t>著：《</w:t>
      </w:r>
      <w:r>
        <w:rPr>
          <w:rFonts w:hint="eastAsia"/>
          <w:b/>
          <w:bCs/>
        </w:rPr>
        <w:t>国</w:t>
      </w:r>
      <w:r>
        <w:rPr>
          <w:b/>
          <w:bCs/>
        </w:rPr>
        <w:t>际经济学》，第</w:t>
      </w:r>
      <w:r>
        <w:rPr>
          <w:rFonts w:hint="eastAsia"/>
          <w:b/>
          <w:bCs/>
        </w:rPr>
        <w:t>十</w:t>
      </w:r>
      <w:r>
        <w:rPr>
          <w:b/>
          <w:bCs/>
        </w:rPr>
        <w:t>版，中国人民大学出版社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版</w:t>
      </w:r>
      <w:r>
        <w:rPr>
          <w:rFonts w:hint="eastAsia"/>
          <w:b/>
          <w:bCs/>
        </w:rPr>
        <w:t>。</w:t>
      </w:r>
    </w:p>
    <w:p w:rsidR="00CD1A7D" w:rsidRDefault="00CD1A7D">
      <w:pPr>
        <w:rPr>
          <w:b/>
          <w:bCs/>
        </w:rPr>
      </w:pPr>
    </w:p>
    <w:sectPr w:rsidR="00CD1A7D" w:rsidSect="00CD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765" w:rsidRDefault="00FF0765" w:rsidP="00B13E72">
      <w:r>
        <w:separator/>
      </w:r>
    </w:p>
  </w:endnote>
  <w:endnote w:type="continuationSeparator" w:id="0">
    <w:p w:rsidR="00FF0765" w:rsidRDefault="00FF0765" w:rsidP="00B13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765" w:rsidRDefault="00FF0765" w:rsidP="00B13E72">
      <w:r>
        <w:separator/>
      </w:r>
    </w:p>
  </w:footnote>
  <w:footnote w:type="continuationSeparator" w:id="0">
    <w:p w:rsidR="00FF0765" w:rsidRDefault="00FF0765" w:rsidP="00B13E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D39C2"/>
    <w:multiLevelType w:val="singleLevel"/>
    <w:tmpl w:val="5E1D39C2"/>
    <w:lvl w:ilvl="0">
      <w:start w:val="2"/>
      <w:numFmt w:val="decimal"/>
      <w:suff w:val="nothing"/>
      <w:lvlText w:val="%1."/>
      <w:lvlJc w:val="left"/>
    </w:lvl>
  </w:abstractNum>
  <w:abstractNum w:abstractNumId="1">
    <w:nsid w:val="5E1D3A0C"/>
    <w:multiLevelType w:val="singleLevel"/>
    <w:tmpl w:val="5E1D3A0C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E6E"/>
    <w:rsid w:val="008E6E6E"/>
    <w:rsid w:val="00B13E72"/>
    <w:rsid w:val="00CD1A7D"/>
    <w:rsid w:val="00FF0765"/>
    <w:rsid w:val="025B6776"/>
    <w:rsid w:val="143771ED"/>
    <w:rsid w:val="273248EF"/>
    <w:rsid w:val="62E843D4"/>
    <w:rsid w:val="6A1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A7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CD1A7D"/>
    <w:rPr>
      <w:rFonts w:ascii="宋体" w:hAnsi="Courier New" w:cs="Courier New"/>
      <w:szCs w:val="21"/>
    </w:rPr>
  </w:style>
  <w:style w:type="paragraph" w:customStyle="1" w:styleId="A4">
    <w:name w:val="A4正文"/>
    <w:basedOn w:val="a"/>
    <w:qFormat/>
    <w:rsid w:val="00CD1A7D"/>
    <w:pPr>
      <w:jc w:val="left"/>
    </w:pPr>
  </w:style>
  <w:style w:type="paragraph" w:customStyle="1" w:styleId="A6">
    <w:name w:val="A6表中文字"/>
    <w:basedOn w:val="16"/>
    <w:qFormat/>
    <w:rsid w:val="00CD1A7D"/>
  </w:style>
  <w:style w:type="paragraph" w:customStyle="1" w:styleId="16">
    <w:name w:val="表中文字左对齐（宋体、小五号、行距16磅）"/>
    <w:qFormat/>
    <w:rsid w:val="00CD1A7D"/>
    <w:pPr>
      <w:spacing w:line="320" w:lineRule="exact"/>
    </w:pPr>
    <w:rPr>
      <w:rFonts w:ascii="宋体" w:eastAsia="宋体" w:hAnsi="宋体" w:cs="Times New Roman"/>
      <w:sz w:val="18"/>
      <w:szCs w:val="18"/>
    </w:rPr>
  </w:style>
  <w:style w:type="paragraph" w:styleId="a5">
    <w:name w:val="header"/>
    <w:basedOn w:val="a"/>
    <w:link w:val="Char"/>
    <w:rsid w:val="00B1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13E72"/>
    <w:rPr>
      <w:kern w:val="2"/>
      <w:sz w:val="18"/>
      <w:szCs w:val="18"/>
    </w:rPr>
  </w:style>
  <w:style w:type="paragraph" w:styleId="a7">
    <w:name w:val="footer"/>
    <w:basedOn w:val="a"/>
    <w:link w:val="Char0"/>
    <w:rsid w:val="00B1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13E7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1253</Characters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2020-01-14T04:17:00Z</dcterms:created>
  <dcterms:modified xsi:type="dcterms:W3CDTF">2020-01-14T04:17:00Z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