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4"/>
          <w:szCs w:val="34"/>
        </w:rPr>
        <w:t xml:space="preserve">An Analytic Solution for the Spline-DV Mean–CV–Dropout Curve</w:t>
      </w:r>
    </w:p>
    <w:p>
      <w:pPr>
        <w:pBdr>
          <w:bottom w:val="single" w:color="9DB2CE" w:sz="6" w:space="8"/>
        </w:pBdr>
        <w:spacing w:after="260"/>
      </w:pPr>
      <w:r>
        <w:rPr>
          <w:i/>
          <w:iCs/>
          <w:color w:val="444444"/>
          <w:sz w:val="24"/>
          <w:szCs w:val="24"/>
        </w:rPr>
        <w:t xml:space="preserve">A closed-form gamma-Poisson replacement for the fitted 3-D smoothing spline</w:t>
      </w:r>
    </w:p>
    <w:p>
      <w:pPr>
        <w:pStyle w:val="Heading1"/>
        <w:spacing w:after="160" w:before="320"/>
      </w:pPr>
      <w:r>
        <w:t xml:space="preserve">1. The problem</w:t>
      </w:r>
    </w:p>
    <w:p>
      <w:pPr>
        <w:spacing w:after="140" w:line="288"/>
      </w:pPr>
      <w:r>
        <w:t xml:space="preserve">Spline-DV places every gene at the point </w:t>
      </w:r>
      <m:oMath>
        <m:d>
          <m:dPr/>
          <m:e>
            <m:r>
              <m:t>x, y, z</m:t>
            </m:r>
          </m:e>
        </m:d>
        <m:r>
          <m:t> = </m:t>
        </m:r>
        <m:d>
          <m:dPr/>
          <m:e>
            <m:r>
              <m:rPr>
                <m:nor/>
              </m:rPr>
              <m:t xml:space="preserve">log</m:t>
            </m:r>
            <m:d>
              <m:dPr/>
              <m:e>
                <m:r>
                  <m:t>1 + μ</m:t>
                </m:r>
              </m:e>
            </m:d>
            <m:r>
              <m:t>, </m:t>
            </m:r>
            <m:r>
              <m:rPr>
                <m:nor/>
              </m:rPr>
              <m:t xml:space="preserve">log</m:t>
            </m:r>
            <m:d>
              <m:dPr/>
              <m:e>
                <m:r>
                  <m:t>1 + </m:t>
                </m:r>
                <m:sSub>
                  <m:sSubPr/>
                  <m:e>
                    <m:r>
                      <m:t>C</m:t>
                    </m:r>
                  </m:e>
                  <m:sub>
                    <m:r>
                      <m:t>σ</m:t>
                    </m:r>
                  </m:sub>
                </m:sSub>
              </m:e>
            </m:d>
            <m:r>
              <m:t>, </m:t>
            </m:r>
            <m:sSub>
              <m:sSubPr/>
              <m:e>
                <m:r>
                  <m:t>D</m:t>
                </m:r>
              </m:e>
              <m:sub>
                <m:r>
                  <m:t>r</m:t>
                </m:r>
              </m:sub>
            </m:sSub>
          </m:e>
        </m:d>
      </m:oMath>
      <w:r>
        <w:t xml:space="preserve"> — log mean expression, log coefficient of variation, dropout rate — and fits a smoothing spline through the resulting cloud (15 pieces, robustness weight 0.75, arclength parameterization). Each gene's deviation from that curve is the per-condition statistic, and the difference of the two deviation vectors is the DV score.</w:t>
      </w:r>
    </w:p>
    <w:p>
      <w:pPr>
        <w:spacing w:after="140" w:line="288"/>
      </w:pPr>
      <w:r>
        <w:t xml:space="preserve">The curve does not have to be estimated nonparametrically. Under the standard count model for droplet scRNA-seq it has a closed form with one fitted parameter, and its dropout coordinate has a closed form with none.</w:t>
      </w:r>
    </w:p>
    <w:p>
      <w:pPr>
        <w:pStyle w:val="Heading1"/>
        <w:spacing w:after="160" w:before="320"/>
      </w:pPr>
      <w:r>
        <w:t xml:space="preserve">2. Notation and count model</w:t>
      </w:r>
    </w:p>
    <w:p>
      <w:pPr>
        <w:spacing w:after="140" w:line="288"/>
      </w:pPr>
      <w:r>
        <w:t xml:space="preserve">Let </w:t>
      </w:r>
      <m:oMath>
        <m:sSub>
          <m:sSubPr/>
          <m:e>
            <m:r>
              <m:t>K</m:t>
            </m:r>
          </m:e>
          <m:sub>
            <m:r>
              <m:t>ij</m:t>
            </m:r>
          </m:sub>
        </m:sSub>
      </m:oMath>
      <w:r>
        <w:t xml:space="preserve"> be the raw count of gene </w:t>
      </w:r>
      <m:oMath>
        <m:r>
          <m:t>i</m:t>
        </m:r>
      </m:oMath>
      <w:r>
        <w:t xml:space="preserve"> in cell </w:t>
      </w:r>
      <m:oMath>
        <m:r>
          <m:t>j</m:t>
        </m:r>
      </m:oMath>
      <w:r>
        <w:t xml:space="preserve">, let </w:t>
      </w:r>
      <m:oMath>
        <m:sSub>
          <m:sSubPr/>
          <m:e>
            <m:r>
              <m:t>L</m:t>
            </m:r>
          </m:e>
          <m:sub>
            <m:r>
              <m:t>j</m:t>
            </m:r>
          </m:sub>
        </m:sSub>
        <m:r>
          <m:t> = </m:t>
        </m:r>
        <m:nary>
          <m:naryPr>
            <m:chr m:val="∑"/>
            <m:limLoc m:val="undOvr"/>
            <m:supHide m:val="1"/>
          </m:naryPr>
          <m:sub>
            <m:r>
              <m:t>i</m:t>
            </m:r>
          </m:sub>
          <m:e>
            <m:sSub>
              <m:sSubPr/>
              <m:e>
                <m:r>
                  <m:t>K</m:t>
                </m:r>
              </m:e>
              <m:sub>
                <m:r>
                  <m:t>ij</m:t>
                </m:r>
              </m:sub>
            </m:sSub>
          </m:e>
        </m:nary>
      </m:oMath>
      <w:r>
        <w:t xml:space="preserve"> be the library size of that cell, let </w:t>
      </w:r>
      <m:oMath>
        <m:r>
          <m:t>n</m:t>
        </m:r>
      </m:oMath>
      <w:r>
        <w:t xml:space="preserve"> be the number of cells, and let </w:t>
      </w:r>
      <m:oMath>
        <m:r>
          <m:t>c</m:t>
        </m:r>
      </m:oMath>
      <w:r>
        <w:t xml:space="preserve"> be the normalization scale (the pipeline uses </w:t>
      </w:r>
      <m:oMath>
        <m:r>
          <m:t>c = </m:t>
        </m:r>
      </m:oMath>
      <w:r>
        <w:t xml:space="preserve">10</w:t>
      </w:r>
      <w:r>
        <w:rPr>
          <w:vertAlign w:val="superscript"/>
        </w:rPr>
        <w:t xml:space="preserve">4</w:t>
      </w:r>
      <w:r>
        <w:t xml:space="preserve">, counts per 10,000). The analysis operates on</w:t>
      </w:r>
    </w:p>
    <w:p>
      <w:pPr>
        <w:tabs>
          <w:tab w:val="center" w:pos="4680"/>
          <w:tab w:val="right" w:pos="9360"/>
        </w:tabs>
        <w:spacing w:after="180" w:before="180"/>
      </w:pPr>
      <w:r>
        <w:tab/>
      </w:r>
      <m:oMath>
        <m:sSub>
          <m:sSubPr/>
          <m:e>
            <m:r>
              <m:t>X</m:t>
            </m:r>
          </m:e>
          <m:sub>
            <m:r>
              <m:t>ij</m:t>
            </m:r>
          </m:sub>
        </m:sSub>
        <m:r>
          <m:t> = c </m:t>
        </m:r>
        <m:f>
          <m:num>
            <m:sSub>
              <m:sSubPr/>
              <m:e>
                <m:r>
                  <m:t>K</m:t>
                </m:r>
              </m:e>
              <m:sub>
                <m:r>
                  <m:t>ij</m:t>
                </m:r>
              </m:sub>
            </m:sSub>
          </m:num>
          <m:den>
            <m:sSub>
              <m:sSubPr/>
              <m:e>
                <m:r>
                  <m:t>L</m:t>
                </m:r>
              </m:e>
              <m:sub>
                <m:r>
                  <m:t>j</m:t>
                </m:r>
              </m:sub>
            </m:sSub>
          </m:den>
        </m:f>
      </m:oMath>
      <w:r>
        <w:tab/>
      </w:r>
      <w:r>
        <w:t xml:space="preserve">(1)</w:t>
      </w:r>
    </w:p>
    <w:p>
      <w:pPr>
        <w:spacing w:after="140" w:line="288"/>
      </w:pPr>
      <w:r>
        <w:t xml:space="preserve">Model the counts as gamma-Poisson (negative binomial) with a cell-independent gene rate </w:t>
      </w:r>
      <m:oMath>
        <m:sSub>
          <m:sSubPr/>
          <m:e>
            <m:r>
              <m:t>λ</m:t>
            </m:r>
          </m:e>
          <m:sub>
            <m:r>
              <m:t>i</m:t>
            </m:r>
          </m:sub>
        </m:sSub>
      </m:oMath>
      <w:r>
        <w:t xml:space="preserve"> — an expression fraction — and dispersion </w:t>
      </w:r>
      <m:oMath>
        <m:r>
          <m:t>φ</m:t>
        </m:r>
      </m:oMath>
      <w:r>
        <w:t xml:space="preserve">:</w:t>
      </w:r>
    </w:p>
    <w:p>
      <w:pPr>
        <w:tabs>
          <w:tab w:val="center" w:pos="4680"/>
          <w:tab w:val="right" w:pos="9360"/>
        </w:tabs>
        <w:spacing w:after="180" w:before="180"/>
      </w:pPr>
      <w:r>
        <w:tab/>
      </w:r>
      <m:oMath>
        <m:r>
          <m:rPr>
            <m:nor/>
          </m:rPr>
          <m:t xml:space="preserve">E</m:t>
        </m:r>
        <m:d>
          <m:dPr>
            <m:begChr m:val="["/>
            <m:endChr m:val="]"/>
          </m:dPr>
          <m:e>
            <m:sSub>
              <m:sSubPr/>
              <m:e>
                <m:r>
                  <m:t>K</m:t>
                </m:r>
              </m:e>
              <m:sub>
                <m:r>
                  <m:t>ij</m:t>
                </m:r>
              </m:sub>
            </m:sSub>
          </m:e>
        </m:d>
        <m:r>
          <m:t> = </m:t>
        </m:r>
        <m:sSub>
          <m:sSubPr/>
          <m:e>
            <m:r>
              <m:t>L</m:t>
            </m:r>
          </m:e>
          <m:sub>
            <m:r>
              <m:t>j</m:t>
            </m:r>
          </m:sub>
        </m:sSub>
        <m:sSub>
          <m:sSubPr/>
          <m:e>
            <m:r>
              <m:t>λ</m:t>
            </m:r>
          </m:e>
          <m:sub>
            <m:r>
              <m:t>i</m:t>
            </m:r>
          </m:sub>
        </m:sSub>
        <m:r>
          <m:t>,       </m:t>
        </m:r>
        <m:r>
          <m:rPr>
            <m:nor/>
          </m:rPr>
          <m:t xml:space="preserve">Var</m:t>
        </m:r>
        <m:d>
          <m:dPr/>
          <m:e>
            <m:sSub>
              <m:sSubPr/>
              <m:e>
                <m:r>
                  <m:t>K</m:t>
                </m:r>
              </m:e>
              <m:sub>
                <m:r>
                  <m:t>ij</m:t>
                </m:r>
              </m:sub>
            </m:sSub>
          </m:e>
        </m:d>
        <m:r>
          <m:t> = </m:t>
        </m:r>
        <m:sSub>
          <m:sSubPr/>
          <m:e>
            <m:r>
              <m:t>L</m:t>
            </m:r>
          </m:e>
          <m:sub>
            <m:r>
              <m:t>j</m:t>
            </m:r>
          </m:sub>
        </m:sSub>
        <m:sSub>
          <m:sSubPr/>
          <m:e>
            <m:r>
              <m:t>λ</m:t>
            </m:r>
          </m:e>
          <m:sub>
            <m:r>
              <m:t>i</m:t>
            </m:r>
          </m:sub>
        </m:sSub>
        <m:r>
          <m:t> + φ </m:t>
        </m:r>
        <m:sSup>
          <m:sSupPr/>
          <m:e>
            <m:d>
              <m:dPr/>
              <m:e>
                <m:sSub>
                  <m:sSubPr/>
                  <m:e>
                    <m:r>
                      <m:t>L</m:t>
                    </m:r>
                  </m:e>
                  <m:sub>
                    <m:r>
                      <m:t>j</m:t>
                    </m:r>
                  </m:sub>
                </m:sSub>
                <m:sSub>
                  <m:sSubPr/>
                  <m:e>
                    <m:r>
                      <m:t>λ</m:t>
                    </m:r>
                  </m:e>
                  <m:sub>
                    <m:r>
                      <m:t>i</m:t>
                    </m:r>
                  </m:sub>
                </m:sSub>
              </m:e>
            </m:d>
          </m:e>
          <m:sup>
            <m:r>
              <m:t>2</m:t>
            </m:r>
          </m:sup>
        </m:sSup>
      </m:oMath>
      <w:r>
        <w:tab/>
      </w:r>
      <w:r>
        <w:t xml:space="preserve">(2)</w:t>
      </w:r>
    </w:p>
    <w:p>
      <w:pPr>
        <w:spacing w:after="140" w:line="288"/>
      </w:pPr>
      <w:r>
        <w:t xml:space="preserve">The limit </w:t>
      </w:r>
      <m:oMath>
        <m:r>
          <m:t>φ → 0</m:t>
        </m:r>
      </m:oMath>
      <w:r>
        <w:t xml:space="preserve"> is pure Poisson sampling, i.e. technical noise only.</w:t>
      </w:r>
    </w:p>
    <w:p>
      <w:pPr>
        <w:pStyle w:val="Heading1"/>
        <w:spacing w:after="160" w:before="320"/>
      </w:pPr>
      <w:r>
        <w:t xml:space="preserve">3. The mean coordinate</w:t>
      </w:r>
    </w:p>
    <w:p>
      <w:pPr>
        <w:spacing w:after="140" w:line="288"/>
      </w:pPr>
      <w:r>
        <w:t xml:space="preserve">Because </w:t>
      </w:r>
      <m:oMath>
        <m:r>
          <m:rPr>
            <m:nor/>
          </m:rPr>
          <m:t xml:space="preserve">E</m:t>
        </m:r>
        <m:d>
          <m:dPr>
            <m:begChr m:val="["/>
            <m:endChr m:val="]"/>
          </m:dPr>
          <m:e>
            <m:sSub>
              <m:sSubPr/>
              <m:e>
                <m:r>
                  <m:t>X</m:t>
                </m:r>
              </m:e>
              <m:sub>
                <m:r>
                  <m:t>ij</m:t>
                </m:r>
              </m:sub>
            </m:sSub>
          </m:e>
        </m:d>
        <m:r>
          <m:t> = c </m:t>
        </m:r>
        <m:sSub>
          <m:sSubPr/>
          <m:e>
            <m:r>
              <m:t>λ</m:t>
            </m:r>
          </m:e>
          <m:sub>
            <m:r>
              <m:t>i</m:t>
            </m:r>
          </m:sub>
        </m:sSub>
      </m:oMath>
      <w:r>
        <w:t xml:space="preserve"> for every cell </w:t>
      </w:r>
      <m:oMath>
        <m:r>
          <m:t>j</m:t>
        </m:r>
      </m:oMath>
      <w:r>
        <w:t xml:space="preserve">, library-size normalization has removed all cell-to-cell variation in the mean. This is what makes the rest of the derivation exact rather than approximate:</w:t>
      </w:r>
    </w:p>
    <w:p>
      <w:pPr>
        <w:tabs>
          <w:tab w:val="center" w:pos="4680"/>
          <w:tab w:val="right" w:pos="9360"/>
        </w:tabs>
        <w:spacing w:after="180" w:before="180"/>
      </w:pPr>
      <w:r>
        <w:tab/>
      </w:r>
      <m:oMath>
        <m:sSub>
          <m:sSubPr/>
          <m:e>
            <m:r>
              <m:t>μ</m:t>
            </m:r>
          </m:e>
          <m:sub>
            <m:r>
              <m:t>i</m:t>
            </m:r>
          </m:sub>
        </m:sSub>
        <m:r>
          <m:t> = c </m:t>
        </m:r>
        <m:sSub>
          <m:sSubPr/>
          <m:e>
            <m:r>
              <m:t>λ</m:t>
            </m:r>
          </m:e>
          <m:sub>
            <m:r>
              <m:t>i</m:t>
            </m:r>
          </m:sub>
        </m:sSub>
      </m:oMath>
      <w:r>
        <w:tab/>
      </w:r>
      <w:r>
        <w:t xml:space="preserve">(3)</w:t>
      </w:r>
    </w:p>
    <w:p>
      <w:pPr>
        <w:pStyle w:val="Heading1"/>
        <w:spacing w:after="160" w:before="320"/>
      </w:pPr>
      <w:r>
        <w:t xml:space="preserve">4. The coefficient-of-variation coordinate</w:t>
      </w:r>
    </w:p>
    <w:p>
      <w:pPr>
        <w:spacing w:after="140" w:line="288"/>
      </w:pPr>
      <w:r>
        <w:t xml:space="preserve">Since every cell shares the same mean, the pooled variance across cells is simply the average of the per-cell variances:</w:t>
      </w:r>
    </w:p>
    <w:p>
      <w:pPr>
        <w:tabs>
          <w:tab w:val="center" w:pos="4680"/>
          <w:tab w:val="right" w:pos="9360"/>
        </w:tabs>
        <w:spacing w:after="180" w:before="180"/>
      </w:pPr>
      <w:r>
        <w:tab/>
      </w:r>
      <m:oMath>
        <m:r>
          <m:rPr>
            <m:nor/>
          </m:rPr>
          <m:t xml:space="preserve">Var</m:t>
        </m:r>
        <m:d>
          <m:dPr/>
          <m:e>
            <m:sSub>
              <m:sSubPr/>
              <m:e>
                <m:r>
                  <m:t>X</m:t>
                </m:r>
              </m:e>
              <m:sub>
                <m:r>
                  <m:t>i</m:t>
                </m:r>
              </m:sub>
            </m:sSub>
          </m:e>
        </m:d>
        <m:r>
          <m:t> = </m:t>
        </m:r>
        <m:f>
          <m:num>
            <m:r>
              <m:t>1</m:t>
            </m:r>
          </m:num>
          <m:den>
            <m:r>
              <m:t>n</m:t>
            </m:r>
          </m:den>
        </m:f>
        <m:nary>
          <m:naryPr>
            <m:chr m:val="∑"/>
            <m:limLoc m:val="undOvr"/>
          </m:naryPr>
          <m:sub>
            <m:r>
              <m:t>j=1</m:t>
            </m:r>
          </m:sub>
          <m:sup>
            <m:r>
              <m:t>n</m:t>
            </m:r>
          </m:sup>
          <m:e>
            <m:f>
              <m:num>
                <m:sSup>
                  <m:sSupPr/>
                  <m:e>
                    <m:r>
                      <m:t>c</m:t>
                    </m:r>
                  </m:e>
                  <m:sup>
                    <m:r>
                      <m:t>2</m:t>
                    </m:r>
                  </m:sup>
                </m:sSup>
              </m:num>
              <m:den>
                <m:sSup>
                  <m:sSupPr/>
                  <m:e>
                    <m:sSub>
                      <m:sSubPr/>
                      <m:e>
                        <m:r>
                          <m:t>L</m:t>
                        </m:r>
                      </m:e>
                      <m:sub>
                        <m:r>
                          <m:t>j</m:t>
                        </m:r>
                      </m:sub>
                    </m:sSub>
                  </m:e>
                  <m:sup>
                    <m:r>
                      <m:t>2</m:t>
                    </m:r>
                  </m:sup>
                </m:sSup>
              </m:den>
            </m:f>
            <m:d>
              <m:dPr/>
              <m:e>
                <m:sSub>
                  <m:sSubPr/>
                  <m:e>
                    <m:r>
                      <m:t>L</m:t>
                    </m:r>
                  </m:e>
                  <m:sub>
                    <m:r>
                      <m:t>j</m:t>
                    </m:r>
                  </m:sub>
                </m:sSub>
                <m:sSub>
                  <m:sSubPr/>
                  <m:e>
                    <m:r>
                      <m:t>λ</m:t>
                    </m:r>
                  </m:e>
                  <m:sub>
                    <m:r>
                      <m:t>i</m:t>
                    </m:r>
                  </m:sub>
                </m:sSub>
                <m:r>
                  <m:t> + φ </m:t>
                </m:r>
                <m:sSup>
                  <m:sSupPr/>
                  <m:e>
                    <m:sSub>
                      <m:sSubPr/>
                      <m:e>
                        <m:r>
                          <m:t>L</m:t>
                        </m:r>
                      </m:e>
                      <m:sub>
                        <m:r>
                          <m:t>j</m:t>
                        </m:r>
                      </m:sub>
                    </m:sSub>
                  </m:e>
                  <m:sup>
                    <m:r>
                      <m:t>2</m:t>
                    </m:r>
                  </m:sup>
                </m:sSup>
                <m:sSup>
                  <m:sSupPr/>
                  <m:e>
                    <m:sSub>
                      <m:sSubPr/>
                      <m:e>
                        <m:r>
                          <m:t>λ</m:t>
                        </m:r>
                      </m:e>
                      <m:sub>
                        <m:r>
                          <m:t>i</m:t>
                        </m:r>
                      </m:sub>
                    </m:sSub>
                  </m:e>
                  <m:sup>
                    <m:r>
                      <m:t>2</m:t>
                    </m:r>
                  </m:sup>
                </m:sSup>
              </m:e>
            </m:d>
          </m:e>
        </m:nary>
      </m:oMath>
      <w:r>
        <w:tab/>
      </w:r>
      <w:r>
        <w:t xml:space="preserve">(4)</w:t>
      </w:r>
    </w:p>
    <w:p>
      <w:pPr>
        <w:spacing w:after="180" w:before="60"/>
        <w:jc w:val="center"/>
      </w:pPr>
      <m:oMath>
        <m:r>
          <m:t> = </m:t>
        </m:r>
        <m:sSup>
          <m:sSupPr/>
          <m:e>
            <m:r>
              <m:t>c</m:t>
            </m:r>
          </m:e>
          <m:sup>
            <m:r>
              <m:t>2</m:t>
            </m:r>
          </m:sup>
        </m:sSup>
        <m:sSub>
          <m:sSubPr/>
          <m:e>
            <m:r>
              <m:t>λ</m:t>
            </m:r>
          </m:e>
          <m:sub>
            <m:r>
              <m:t>i</m:t>
            </m:r>
          </m:sub>
        </m:sSub>
        <m:f>
          <m:num>
            <m:r>
              <m:t>1</m:t>
            </m:r>
          </m:num>
          <m:den>
            <m:r>
              <m:t>n</m:t>
            </m:r>
          </m:den>
        </m:f>
        <m:nary>
          <m:naryPr>
            <m:chr m:val="∑"/>
            <m:limLoc m:val="undOvr"/>
          </m:naryPr>
          <m:sub>
            <m:r>
              <m:t>j=1</m:t>
            </m:r>
          </m:sub>
          <m:sup>
            <m:r>
              <m:t>n</m:t>
            </m:r>
          </m:sup>
          <m:e>
            <m:f>
              <m:num>
                <m:r>
                  <m:t>1</m:t>
                </m:r>
              </m:num>
              <m:den>
                <m:sSub>
                  <m:sSubPr/>
                  <m:e>
                    <m:r>
                      <m:t>L</m:t>
                    </m:r>
                  </m:e>
                  <m:sub>
                    <m:r>
                      <m:t>j</m:t>
                    </m:r>
                  </m:sub>
                </m:sSub>
              </m:den>
            </m:f>
          </m:e>
        </m:nary>
        <m:r>
          <m:t> + φ </m:t>
        </m:r>
        <m:sSup>
          <m:sSupPr/>
          <m:e>
            <m:r>
              <m:t>c</m:t>
            </m:r>
          </m:e>
          <m:sup>
            <m:r>
              <m:t>2</m:t>
            </m:r>
          </m:sup>
        </m:sSup>
        <m:sSup>
          <m:sSupPr/>
          <m:e>
            <m:sSub>
              <m:sSubPr/>
              <m:e>
                <m:r>
                  <m:t>λ</m:t>
                </m:r>
              </m:e>
              <m:sub>
                <m:r>
                  <m:t>i</m:t>
                </m:r>
              </m:sub>
            </m:sSub>
          </m:e>
          <m:sup>
            <m:r>
              <m:t>2</m:t>
            </m:r>
          </m:sup>
        </m:sSup>
      </m:oMath>
    </w:p>
    <w:p>
      <w:pPr>
        <w:spacing w:after="60" w:line="288"/>
      </w:pPr>
      <w:r>
        <w:rPr>
          <w:i/>
          <w:iCs/>
          <w:color w:val="444444"/>
        </w:rPr>
        <w:t xml:space="preserve">Dividing by the square of the mean gives the first key result.</w:t>
      </w:r>
    </w:p>
    <w:p>
      <w:pPr>
        <w:tabs>
          <w:tab w:val="center" w:pos="4680"/>
          <w:tab w:val="right" w:pos="9360"/>
        </w:tabs>
        <w:spacing w:after="180" w:before="180"/>
      </w:pPr>
      <w:r>
        <w:tab/>
      </w:r>
      <m:oMath>
        <m:sSup>
          <m:sSupPr/>
          <m:e>
            <m:sSub>
              <m:sSubPr/>
              <m:e>
                <m:r>
                  <m:t>C</m:t>
                </m:r>
              </m:e>
              <m:sub>
                <m:r>
                  <m:t>σ</m:t>
                </m:r>
              </m:sub>
            </m:sSub>
          </m:e>
          <m:sup>
            <m:r>
              <m:t>2</m:t>
            </m:r>
          </m:sup>
        </m:sSup>
        <m:d>
          <m:dPr/>
          <m:e>
            <m:r>
              <m:t>μ</m:t>
            </m:r>
          </m:e>
        </m:d>
        <m:r>
          <m:t> = </m:t>
        </m:r>
        <m:f>
          <m:num>
            <m:r>
              <m:t>α</m:t>
            </m:r>
          </m:num>
          <m:den>
            <m:r>
              <m:t>μ</m:t>
            </m:r>
          </m:den>
        </m:f>
        <m:r>
          <m:t> + φ,        α = </m:t>
        </m:r>
        <m:f>
          <m:num>
            <m:r>
              <m:t>c</m:t>
            </m:r>
          </m:num>
          <m:den>
            <m:r>
              <m:t>n</m:t>
            </m:r>
          </m:den>
        </m:f>
        <m:nary>
          <m:naryPr>
            <m:chr m:val="∑"/>
            <m:limLoc m:val="undOvr"/>
          </m:naryPr>
          <m:sub>
            <m:r>
              <m:t>j=1</m:t>
            </m:r>
          </m:sub>
          <m:sup>
            <m:r>
              <m:t>n</m:t>
            </m:r>
          </m:sup>
          <m:e>
            <m:f>
              <m:num>
                <m:r>
                  <m:t>1</m:t>
                </m:r>
              </m:num>
              <m:den>
                <m:sSub>
                  <m:sSubPr/>
                  <m:e>
                    <m:r>
                      <m:t>L</m:t>
                    </m:r>
                  </m:e>
                  <m:sub>
                    <m:r>
                      <m:t>j</m:t>
                    </m:r>
                  </m:sub>
                </m:sSub>
              </m:den>
            </m:f>
          </m:e>
        </m:nary>
      </m:oMath>
      <w:r>
        <w:tab/>
      </w:r>
      <w:r>
        <w:t xml:space="preserve">(5)</w:t>
      </w:r>
    </w:p>
    <w:p>
      <w:pPr>
        <w:spacing w:after="140" w:line="288"/>
      </w:pPr>
      <w:r>
        <w:t xml:space="preserve">The constant </w:t>
      </w:r>
      <m:oMath>
        <m:r>
          <m:t>α</m:t>
        </m:r>
      </m:oMath>
      <w:r>
        <w:t xml:space="preserve"> is not fitted: it is </w:t>
      </w:r>
      <m:oMath>
        <m:r>
          <m:t>c</m:t>
        </m:r>
      </m:oMath>
      <w:r>
        <w:t xml:space="preserve"> divided by the harmonic mean of the library sizes, and so is known the moment the count matrix is loaded. On the bundled GSM3308547 / GSM3308548 data, </w:t>
      </w:r>
      <m:oMath>
        <m:r>
          <m:t>α</m:t>
        </m:r>
      </m:oMath>
      <w:r>
        <w:t xml:space="preserve"> = 1.997 and 1.597.</w:t>
      </w:r>
    </w:p>
    <w:p>
      <w:pPr>
        <w:pStyle w:val="Heading1"/>
        <w:spacing w:after="160" w:before="320"/>
      </w:pPr>
      <w:r>
        <w:t xml:space="preserve">5. The dropout coordinate</w:t>
      </w:r>
    </w:p>
    <w:p>
      <w:pPr>
        <w:spacing w:after="140" w:line="288"/>
      </w:pPr>
      <w:r>
        <w:t xml:space="preserve">Zeros are invariant under a positive per-cell rescaling, so the dropout rate of the normalized data equals that of the raw counts. For the gamma-Poisson, </w:t>
      </w:r>
      <m:oMath>
        <m:r>
          <m:rPr>
            <m:nor/>
          </m:rPr>
          <m:t xml:space="preserve">P</m:t>
        </m:r>
        <m:d>
          <m:dPr/>
          <m:e>
            <m:sSub>
              <m:sSubPr/>
              <m:e>
                <m:r>
                  <m:t>K</m:t>
                </m:r>
              </m:e>
              <m:sub>
                <m:r>
                  <m:t>ij</m:t>
                </m:r>
              </m:sub>
            </m:sSub>
            <m:r>
              <m:t> = 0</m:t>
            </m:r>
          </m:e>
        </m:d>
        <m:r>
          <m:t> = </m:t>
        </m:r>
        <m:sSup>
          <m:sSupPr/>
          <m:e>
            <m:d>
              <m:dPr/>
              <m:e>
                <m:r>
                  <m:t>1 + φ </m:t>
                </m:r>
                <m:sSub>
                  <m:sSubPr/>
                  <m:e>
                    <m:r>
                      <m:t>L</m:t>
                    </m:r>
                  </m:e>
                  <m:sub>
                    <m:r>
                      <m:t>j</m:t>
                    </m:r>
                  </m:sub>
                </m:sSub>
                <m:sSub>
                  <m:sSubPr/>
                  <m:e>
                    <m:r>
                      <m:t>λ</m:t>
                    </m:r>
                  </m:e>
                  <m:sub>
                    <m:r>
                      <m:t>i</m:t>
                    </m:r>
                  </m:sub>
                </m:sSub>
              </m:e>
            </m:d>
          </m:e>
          <m:sup>
            <m:r>
              <m:t>−1/φ</m:t>
            </m:r>
          </m:sup>
        </m:sSup>
      </m:oMath>
      <w:r>
        <w:t xml:space="preserve">, hence</w:t>
      </w:r>
    </w:p>
    <w:p>
      <w:pPr>
        <w:tabs>
          <w:tab w:val="center" w:pos="4680"/>
          <w:tab w:val="right" w:pos="9360"/>
        </w:tabs>
        <w:spacing w:after="180" w:before="180"/>
      </w:pPr>
      <w:r>
        <w:tab/>
      </w:r>
      <m:oMath>
        <m:sSub>
          <m:sSubPr/>
          <m:e>
            <m:r>
              <m:t>D</m:t>
            </m:r>
          </m:e>
          <m:sub>
            <m:r>
              <m:t>r</m:t>
            </m:r>
          </m:sub>
        </m:sSub>
        <m:d>
          <m:dPr/>
          <m:e>
            <m:r>
              <m:t>μ</m:t>
            </m:r>
          </m:e>
        </m:d>
        <m:r>
          <m:t> = </m:t>
        </m:r>
        <m:f>
          <m:num>
            <m:r>
              <m:t>1</m:t>
            </m:r>
          </m:num>
          <m:den>
            <m:r>
              <m:t>n</m:t>
            </m:r>
          </m:den>
        </m:f>
        <m:nary>
          <m:naryPr>
            <m:chr m:val="∑"/>
            <m:limLoc m:val="undOvr"/>
          </m:naryPr>
          <m:sub>
            <m:r>
              <m:t>j=1</m:t>
            </m:r>
          </m:sub>
          <m:sup>
            <m:r>
              <m:t>n</m:t>
            </m:r>
          </m:sup>
          <m:e>
            <m:sSup>
              <m:sSupPr/>
              <m:e>
                <m:d>
                  <m:dPr/>
                  <m:e>
                    <m:r>
                      <m:t>1 + </m:t>
                    </m:r>
                    <m:sSub>
                      <m:sSubPr/>
                      <m:e>
                        <m:r>
                          <m:t>φ</m:t>
                        </m:r>
                      </m:e>
                      <m:sub>
                        <m:r>
                          <m:t>z</m:t>
                        </m:r>
                      </m:sub>
                    </m:sSub>
                    <m:f>
                      <m:num>
                        <m:sSub>
                          <m:sSubPr/>
                          <m:e>
                            <m:r>
                              <m:t>L</m:t>
                            </m:r>
                          </m:e>
                          <m:sub>
                            <m:r>
                              <m:t>j</m:t>
                            </m:r>
                          </m:sub>
                        </m:sSub>
                        <m:r>
                          <m:t> μ</m:t>
                        </m:r>
                      </m:num>
                      <m:den>
                        <m:r>
                          <m:t>c</m:t>
                        </m:r>
                      </m:den>
                    </m:f>
                  </m:e>
                </m:d>
              </m:e>
              <m:sup>
                <m:r>
                  <m:t>−1/</m:t>
                </m:r>
                <m:sSub>
                  <m:sSubPr/>
                  <m:e>
                    <m:r>
                      <m:t>φ</m:t>
                    </m:r>
                  </m:e>
                  <m:sub>
                    <m:r>
                      <m:t>z</m:t>
                    </m:r>
                  </m:sub>
                </m:sSub>
              </m:sup>
            </m:sSup>
          </m:e>
        </m:nary>
      </m:oMath>
      <w:r>
        <w:tab/>
      </w:r>
      <w:r>
        <w:t xml:space="preserve">(6)</w:t>
      </w:r>
    </w:p>
    <w:p>
      <w:pPr>
        <w:spacing w:after="60" w:line="288"/>
      </w:pPr>
      <w:r>
        <w:rPr>
          <w:i/>
          <w:iCs/>
          <w:color w:val="444444"/>
        </w:rPr>
        <w:t xml:space="preserve">Taking the Poisson limit gives the second key result.</w:t>
      </w:r>
    </w:p>
    <w:p>
      <w:pPr>
        <w:tabs>
          <w:tab w:val="center" w:pos="4680"/>
          <w:tab w:val="right" w:pos="9360"/>
        </w:tabs>
        <w:spacing w:after="180" w:before="180"/>
      </w:pPr>
      <w:r>
        <w:tab/>
      </w:r>
      <m:oMath>
        <m:sSub>
          <m:sSubPr/>
          <m:e>
            <m:r>
              <m:t>D</m:t>
            </m:r>
          </m:e>
          <m:sub>
            <m:r>
              <m:t>r</m:t>
            </m:r>
          </m:sub>
        </m:sSub>
        <m:d>
          <m:dPr/>
          <m:e>
            <m:r>
              <m:t>μ</m:t>
            </m:r>
          </m:e>
        </m:d>
        <m:r>
          <m:t> = </m:t>
        </m:r>
        <m:f>
          <m:num>
            <m:r>
              <m:t>1</m:t>
            </m:r>
          </m:num>
          <m:den>
            <m:r>
              <m:t>n</m:t>
            </m:r>
          </m:den>
        </m:f>
        <m:nary>
          <m:naryPr>
            <m:chr m:val="∑"/>
            <m:limLoc m:val="undOvr"/>
          </m:naryPr>
          <m:sub>
            <m:r>
              <m:t>j=1</m:t>
            </m:r>
          </m:sub>
          <m:sup>
            <m:r>
              <m:t>n</m:t>
            </m:r>
          </m:sup>
          <m:e>
            <m:sSup>
              <m:sSupPr/>
              <m:e>
                <m:r>
                  <m:rPr>
                    <m:nor/>
                  </m:rPr>
                  <m:t xml:space="preserve">e</m:t>
                </m:r>
              </m:e>
              <m:sup>
                <m:r>
                  <m:t>−</m:t>
                </m:r>
                <m:sSub>
                  <m:sSubPr/>
                  <m:e>
                    <m:r>
                      <m:t>L</m:t>
                    </m:r>
                  </m:e>
                  <m:sub>
                    <m:r>
                      <m:t>j</m:t>
                    </m:r>
                  </m:sub>
                </m:sSub>
                <m:r>
                  <m:t> μ / c</m:t>
                </m:r>
              </m:sup>
            </m:sSup>
          </m:e>
        </m:nary>
      </m:oMath>
      <w:r>
        <w:tab/>
      </w:r>
      <w:r>
        <w:t xml:space="preserve">(7)</w:t>
      </w:r>
    </w:p>
    <w:p>
      <w:pPr>
        <w:spacing w:after="140" w:line="288"/>
      </w:pPr>
      <w:r>
        <w:t xml:space="preserve">Equation (7) is exactly the </w:t>
      </w:r>
      <w:r>
        <w:rPr>
          <w:b/>
          <w:bCs/>
        </w:rPr>
        <w:t xml:space="preserve">empirical Laplace transform of the library sizes</w:t>
      </w:r>
      <w:r>
        <w:t xml:space="preserve">, evaluated at the gene's rate </w:t>
      </w:r>
      <m:oMath>
        <m:r>
          <m:t>λ = μ / c</m:t>
        </m:r>
      </m:oMath>
      <w:r>
        <w:t xml:space="preserve">. It contains no free parameter at all — it is a deterministic function of quantities already known. This is the strongest part of the result: the mean–dropout relation of a scRNA-seq dataset is fixed by its library-size distribution alone.</w:t>
      </w:r>
    </w:p>
    <w:p>
      <w:pPr>
        <w:pStyle w:val="Heading1"/>
        <w:spacing w:after="160" w:before="320"/>
      </w:pPr>
      <w:r>
        <w:t xml:space="preserve">6. The analytic curve</w:t>
      </w:r>
    </w:p>
    <w:p>
      <w:pPr>
        <w:spacing w:after="140" w:line="288"/>
      </w:pPr>
      <w:r>
        <w:t xml:space="preserve">Parameterized by the normalized mean </w:t>
      </w:r>
      <m:oMath>
        <m:r>
          <m:t>μ &gt; 0</m:t>
        </m:r>
      </m:oMath>
      <w:r>
        <w:t xml:space="preserve">, the curve is</w:t>
      </w:r>
    </w:p>
    <w:p>
      <w:pPr>
        <w:tabs>
          <w:tab w:val="center" w:pos="4680"/>
          <w:tab w:val="right" w:pos="9360"/>
        </w:tabs>
        <w:spacing w:after="180" w:before="180"/>
      </w:pPr>
      <w:r>
        <w:tab/>
      </w:r>
      <m:oMath>
        <m:r>
          <m:t>x</m:t>
        </m:r>
        <m:d>
          <m:dPr/>
          <m:e>
            <m:r>
              <m:t>μ</m:t>
            </m:r>
          </m:e>
        </m:d>
        <m:r>
          <m:t> = </m:t>
        </m:r>
        <m:r>
          <m:rPr>
            <m:nor/>
          </m:rPr>
          <m:t xml:space="preserve">log</m:t>
        </m:r>
        <m:d>
          <m:dPr/>
          <m:e>
            <m:r>
              <m:t>1 + μ</m:t>
            </m:r>
          </m:e>
        </m:d>
      </m:oMath>
      <w:r>
        <w:tab/>
      </w:r>
      <w:r>
        <w:t xml:space="preserve">(8)</w:t>
      </w:r>
    </w:p>
    <w:p>
      <w:pPr>
        <w:tabs>
          <w:tab w:val="center" w:pos="4680"/>
          <w:tab w:val="right" w:pos="9360"/>
        </w:tabs>
        <w:spacing w:after="180" w:before="180"/>
      </w:pPr>
      <w:r>
        <w:tab/>
      </w:r>
      <m:oMath>
        <m:r>
          <m:t>y</m:t>
        </m:r>
        <m:d>
          <m:dPr/>
          <m:e>
            <m:r>
              <m:t>μ</m:t>
            </m:r>
          </m:e>
        </m:d>
        <m:r>
          <m:t> = </m:t>
        </m:r>
        <m:r>
          <m:rPr>
            <m:nor/>
          </m:rPr>
          <m:t xml:space="preserve">log</m:t>
        </m:r>
        <m:d>
          <m:dPr/>
          <m:e>
            <m:r>
              <m:t>1 + </m:t>
            </m:r>
            <m:rad>
              <m:radPr>
                <m:degHide m:val="1"/>
              </m:radPr>
              <m:deg/>
              <m:e>
                <m:f>
                  <m:num>
                    <m:r>
                      <m:t>α</m:t>
                    </m:r>
                  </m:num>
                  <m:den>
                    <m:r>
                      <m:t>μ</m:t>
                    </m:r>
                  </m:den>
                </m:f>
                <m:r>
                  <m:t> + φ</m:t>
                </m:r>
              </m:e>
            </m:rad>
          </m:e>
        </m:d>
      </m:oMath>
      <w:r>
        <w:tab/>
      </w:r>
      <w:r>
        <w:t xml:space="preserve">(9)</w:t>
      </w:r>
    </w:p>
    <w:p>
      <w:pPr>
        <w:tabs>
          <w:tab w:val="center" w:pos="4680"/>
          <w:tab w:val="right" w:pos="9360"/>
        </w:tabs>
        <w:spacing w:after="180" w:before="180"/>
      </w:pPr>
      <w:r>
        <w:tab/>
      </w:r>
      <m:oMath>
        <m:r>
          <m:t>z</m:t>
        </m:r>
        <m:d>
          <m:dPr/>
          <m:e>
            <m:r>
              <m:t>μ</m:t>
            </m:r>
          </m:e>
        </m:d>
        <m:r>
          <m:t> = </m:t>
        </m:r>
        <m:f>
          <m:num>
            <m:r>
              <m:t>1</m:t>
            </m:r>
          </m:num>
          <m:den>
            <m:r>
              <m:t>n</m:t>
            </m:r>
          </m:den>
        </m:f>
        <m:nary>
          <m:naryPr>
            <m:chr m:val="∑"/>
            <m:limLoc m:val="undOvr"/>
          </m:naryPr>
          <m:sub>
            <m:r>
              <m:t>j=1</m:t>
            </m:r>
          </m:sub>
          <m:sup>
            <m:r>
              <m:t>n</m:t>
            </m:r>
          </m:sup>
          <m:e>
            <m:sSup>
              <m:sSupPr/>
              <m:e>
                <m:d>
                  <m:dPr/>
                  <m:e>
                    <m:r>
                      <m:t>1 + </m:t>
                    </m:r>
                    <m:sSub>
                      <m:sSubPr/>
                      <m:e>
                        <m:r>
                          <m:t>φ</m:t>
                        </m:r>
                      </m:e>
                      <m:sub>
                        <m:r>
                          <m:t>z</m:t>
                        </m:r>
                      </m:sub>
                    </m:sSub>
                    <m:f>
                      <m:num>
                        <m:sSub>
                          <m:sSubPr/>
                          <m:e>
                            <m:r>
                              <m:t>L</m:t>
                            </m:r>
                          </m:e>
                          <m:sub>
                            <m:r>
                              <m:t>j</m:t>
                            </m:r>
                          </m:sub>
                        </m:sSub>
                        <m:r>
                          <m:t> μ</m:t>
                        </m:r>
                      </m:num>
                      <m:den>
                        <m:r>
                          <m:t>c</m:t>
                        </m:r>
                      </m:den>
                    </m:f>
                  </m:e>
                </m:d>
              </m:e>
              <m:sup>
                <m:r>
                  <m:t>−1/</m:t>
                </m:r>
                <m:sSub>
                  <m:sSubPr/>
                  <m:e>
                    <m:r>
                      <m:t>φ</m:t>
                    </m:r>
                  </m:e>
                  <m:sub>
                    <m:r>
                      <m:t>z</m:t>
                    </m:r>
                  </m:sub>
                </m:sSub>
              </m:sup>
            </m:sSup>
          </m:e>
        </m:nary>
      </m:oMath>
      <w:r>
        <w:tab/>
      </w:r>
      <w:r>
        <w:t xml:space="preserve">(10)</w:t>
      </w:r>
    </w:p>
    <w:p>
      <w:pPr>
        <w:spacing w:after="140" w:line="288"/>
      </w:pPr>
      <w:r>
        <w:t xml:space="preserve">with </w:t>
      </w:r>
      <m:oMath>
        <m:r>
          <m:t>α</m:t>
        </m:r>
      </m:oMath>
      <w:r>
        <w:t xml:space="preserve"> given in closed form by (5), </w:t>
      </w:r>
      <m:oMath>
        <m:r>
          <m:t>φ</m:t>
        </m:r>
      </m:oMath>
      <w:r>
        <w:t xml:space="preserve"> the single fitted overdispersion, and </w:t>
      </w:r>
      <m:oMath>
        <m:sSub>
          <m:sSubPr/>
          <m:e>
            <m:r>
              <m:t>φ</m:t>
            </m:r>
          </m:e>
          <m:sub>
            <m:r>
              <m:t>z</m:t>
            </m:r>
          </m:sub>
        </m:sSub>
        <m:r>
          <m:t> = 0</m:t>
        </m:r>
      </m:oMath>
      <w:r>
        <w:t xml:space="preserve"> (Poisson dropout) working best in practice — see Section 10.</w:t>
      </w:r>
    </w:p>
    <w:p>
      <w:pPr>
        <w:pStyle w:val="Heading2"/>
        <w:spacing w:after="120" w:before="240"/>
      </w:pPr>
      <w:r>
        <w:t xml:space="preserve">6.1 Implicit form</w:t>
      </w:r>
    </w:p>
    <w:p>
      <w:pPr>
        <w:spacing w:after="140" w:line="288"/>
      </w:pPr>
      <w:r>
        <w:t xml:space="preserve">Eliminating the parameter shows that the mean–CV relation is a cylinder over the </w:t>
      </w:r>
      <m:oMath>
        <m:d>
          <m:dPr/>
          <m:e>
            <m:r>
              <m:t>x, y</m:t>
            </m:r>
          </m:e>
        </m:d>
      </m:oMath>
      <w:r>
        <w:t xml:space="preserve"> plane:</w:t>
      </w:r>
    </w:p>
    <w:p>
      <w:pPr>
        <w:tabs>
          <w:tab w:val="center" w:pos="4680"/>
          <w:tab w:val="right" w:pos="9360"/>
        </w:tabs>
        <w:spacing w:after="180" w:before="180"/>
      </w:pPr>
      <w:r>
        <w:tab/>
      </w:r>
      <m:oMath>
        <m:sSup>
          <m:sSupPr/>
          <m:e>
            <m:d>
              <m:dPr/>
              <m:e>
                <m:sSup>
                  <m:sSupPr/>
                  <m:e>
                    <m:r>
                      <m:rPr>
                        <m:nor/>
                      </m:rPr>
                      <m:t xml:space="preserve">e</m:t>
                    </m:r>
                  </m:e>
                  <m:sup>
                    <m:r>
                      <m:t>y</m:t>
                    </m:r>
                  </m:sup>
                </m:sSup>
                <m:r>
                  <m:t> − 1</m:t>
                </m:r>
              </m:e>
            </m:d>
          </m:e>
          <m:sup>
            <m:r>
              <m:t>2</m:t>
            </m:r>
          </m:sup>
        </m:sSup>
        <m:d>
          <m:dPr/>
          <m:e>
            <m:sSup>
              <m:sSupPr/>
              <m:e>
                <m:r>
                  <m:rPr>
                    <m:nor/>
                  </m:rPr>
                  <m:t xml:space="preserve">e</m:t>
                </m:r>
              </m:e>
              <m:sup>
                <m:r>
                  <m:t>x</m:t>
                </m:r>
              </m:sup>
            </m:sSup>
            <m:r>
              <m:t> − 1</m:t>
            </m:r>
          </m:e>
        </m:d>
        <m:r>
          <m:t> = α + φ </m:t>
        </m:r>
        <m:d>
          <m:dPr/>
          <m:e>
            <m:sSup>
              <m:sSupPr/>
              <m:e>
                <m:r>
                  <m:rPr>
                    <m:nor/>
                  </m:rPr>
                  <m:t xml:space="preserve">e</m:t>
                </m:r>
              </m:e>
              <m:sup>
                <m:r>
                  <m:t>x</m:t>
                </m:r>
              </m:sup>
            </m:sSup>
            <m:r>
              <m:t> − 1</m:t>
            </m:r>
          </m:e>
        </m:d>
      </m:oMath>
      <w:r>
        <w:tab/>
      </w:r>
      <w:r>
        <w:t xml:space="preserve">(11)</w:t>
      </w:r>
    </w:p>
    <w:p>
      <w:pPr>
        <w:spacing w:after="140" w:line="288"/>
      </w:pPr>
      <w:r>
        <w:t xml:space="preserve">In the idealized case of equal library sizes (</w:t>
      </w:r>
      <m:oMath>
        <m:sSub>
          <m:sSubPr/>
          <m:e>
            <m:r>
              <m:t>L</m:t>
            </m:r>
          </m:e>
          <m:sub>
            <m:r>
              <m:t>j</m:t>
            </m:r>
          </m:sub>
        </m:sSub>
        <m:r>
          <m:t> ≡ L</m:t>
        </m:r>
      </m:oMath>
      <w:r>
        <w:t xml:space="preserve">, </w:t>
      </w:r>
      <m:oMath>
        <m:r>
          <m:t>φ = 0</m:t>
        </m:r>
      </m:oMath>
      <w:r>
        <w:t xml:space="preserve">, </w:t>
      </w:r>
      <m:oMath>
        <m:r>
          <m:t>α = c / L</m:t>
        </m:r>
      </m:oMath>
      <w:r>
        <w:t xml:space="preserve">) the dropout coordinate collapses to a relation in </w:t>
      </w:r>
      <m:oMath>
        <m:r>
          <m:t>y</m:t>
        </m:r>
      </m:oMath>
      <w:r>
        <w:t xml:space="preserve"> alone that is free of every parameter:</w:t>
      </w:r>
    </w:p>
    <w:p>
      <w:pPr>
        <w:tabs>
          <w:tab w:val="center" w:pos="4680"/>
          <w:tab w:val="right" w:pos="9360"/>
        </w:tabs>
        <w:spacing w:after="180" w:before="180"/>
      </w:pPr>
      <w:r>
        <w:tab/>
      </w:r>
      <m:oMath>
        <m:r>
          <m:t>z = </m:t>
        </m:r>
        <m:sSup>
          <m:sSupPr/>
          <m:e>
            <m:r>
              <m:rPr>
                <m:nor/>
              </m:rPr>
              <m:t xml:space="preserve">e</m:t>
            </m:r>
          </m:e>
          <m:sup>
            <m:r>
              <m:t>−</m:t>
            </m:r>
            <m:sSup>
              <m:sSupPr/>
              <m:e>
                <m:d>
                  <m:dPr/>
                  <m:e>
                    <m:sSup>
                      <m:sSupPr/>
                      <m:e>
                        <m:r>
                          <m:rPr>
                            <m:nor/>
                          </m:rPr>
                          <m:t xml:space="preserve">e</m:t>
                        </m:r>
                      </m:e>
                      <m:sup>
                        <m:r>
                          <m:t>y</m:t>
                        </m:r>
                      </m:sup>
                    </m:sSup>
                    <m:r>
                      <m:t> − 1</m:t>
                    </m:r>
                  </m:e>
                </m:d>
              </m:e>
              <m:sup>
                <m:r>
                  <m:t>−2</m:t>
                </m:r>
              </m:sup>
            </m:sSup>
          </m:sup>
        </m:sSup>
      </m:oMath>
      <w:r>
        <w:tab/>
      </w:r>
      <w:r>
        <w:t xml:space="preserve">(12)</w:t>
      </w:r>
    </w:p>
    <w:p>
      <w:pPr>
        <w:spacing w:after="140" w:line="288"/>
      </w:pPr>
      <w:r>
        <w:t xml:space="preserve">So the 3-D curve is structurally the intersection of two surfaces; only library-size heterogeneity and biological overdispersion perturb that picture.</w:t>
      </w:r>
    </w:p>
    <w:p>
      <w:pPr>
        <w:pStyle w:val="Heading1"/>
        <w:spacing w:after="160" w:before="320"/>
      </w:pPr>
      <w:r>
        <w:t xml:space="preserve">7. Inputs and outputs</w:t>
      </w:r>
    </w:p>
    <w:p>
      <w:pPr>
        <w:spacing w:after="140" w:line="288"/>
      </w:pPr>
      <w:r>
        <w:t xml:space="preserve">The solution is a </w:t>
      </w:r>
      <w:r>
        <w:rPr>
          <w:b/>
          <w:bCs/>
        </w:rPr>
        <w:t xml:space="preserve">parametric space curve</w:t>
      </w:r>
      <w:r>
        <w:t xml:space="preserve">, not a surface or a regression of one axis on the others. It therefore has </w:t>
      </w:r>
      <w:r>
        <w:rPr>
          <w:i/>
          <w:iCs/>
        </w:rPr>
        <w:t xml:space="preserve">one</w:t>
      </w:r>
      <w:r>
        <w:t xml:space="preserve"> independent variable and three dependent ones.</w:t>
      </w:r>
    </w:p>
    <w:p>
      <w:pPr>
        <w:pStyle w:val="Heading2"/>
        <w:spacing w:after="120" w:before="240"/>
      </w:pPr>
      <w:r>
        <w:t xml:space="preserve">7.1 Independent variable</w:t>
      </w:r>
    </w:p>
    <w:p>
      <w:pPr>
        <w:spacing w:after="140" w:line="288"/>
      </w:pPr>
      <w:r>
        <w:t xml:space="preserve">The curve parameter is the normalized mean expression </w:t>
      </w:r>
      <m:oMath>
        <m:r>
          <m:t>μ &gt; 0</m:t>
        </m:r>
      </m:oMath>
      <w:r>
        <w:t xml:space="preserve">, equivalently the expression fraction </w:t>
      </w:r>
      <m:oMath>
        <m:r>
          <m:t>λ = μ / c</m:t>
        </m:r>
      </m:oMath>
      <w:r>
        <w:t xml:space="preserve">. One value of </w:t>
      </w:r>
      <m:oMath>
        <m:r>
          <m:t>μ</m:t>
        </m:r>
      </m:oMath>
      <w:r>
        <w:t xml:space="preserve"> is one point on the curve; sweeping it from 0 to ∞ traces the whole thing. Nothing else varies along the curve.</w:t>
      </w:r>
    </w:p>
    <w:p>
      <w:pPr>
        <w:pStyle w:val="Heading2"/>
        <w:spacing w:after="120" w:before="240"/>
      </w:pPr>
      <w:r>
        <w:t xml:space="preserve">7.2 Dependent variables</w:t>
      </w:r>
    </w:p>
    <w:p>
      <w:pPr>
        <w:spacing w:after="140" w:line="288"/>
      </w:pPr>
      <w:r>
        <w:t xml:space="preserve">All three coordinates are outputs of that single parameter, given by equations (8)–(10):</w:t>
      </w:r>
    </w:p>
    <w:p>
      <w:pPr>
        <w:spacing w:after="180" w:before="60"/>
        <w:jc w:val="center"/>
      </w:pPr>
      <m:oMath>
        <m:r>
          <m:t>μ  ⟶  </m:t>
        </m:r>
        <m:d>
          <m:dPr/>
          <m:e>
            <m:r>
              <m:t>x</m:t>
            </m:r>
            <m:d>
              <m:dPr/>
              <m:e>
                <m:r>
                  <m:t>μ</m:t>
                </m:r>
              </m:e>
            </m:d>
            <m:r>
              <m:t>, y</m:t>
            </m:r>
            <m:d>
              <m:dPr/>
              <m:e>
                <m:r>
                  <m:t>μ</m:t>
                </m:r>
              </m:e>
            </m:d>
            <m:r>
              <m:t>, z</m:t>
            </m:r>
            <m:d>
              <m:dPr/>
              <m:e>
                <m:r>
                  <m:t>μ</m:t>
                </m:r>
              </m:e>
            </m:d>
          </m:e>
        </m:d>
        <m:r>
          <m:t> = </m:t>
        </m:r>
        <m:d>
          <m:dPr/>
          <m:e>
            <m:r>
              <m:rPr>
                <m:nor/>
              </m:rPr>
              <m:t xml:space="preserve">log mean</m:t>
            </m:r>
            <m:r>
              <m:t>, </m:t>
            </m:r>
            <m:r>
              <m:rPr>
                <m:nor/>
              </m:rPr>
              <m:t xml:space="preserve">log CV</m:t>
            </m:r>
            <m:r>
              <m:t>, </m:t>
            </m:r>
            <m:r>
              <m:rPr>
                <m:nor/>
              </m:rPr>
              <m:t xml:space="preserve">dropout rate</m:t>
            </m:r>
          </m:e>
        </m:d>
      </m:oMath>
    </w:p>
    <w:p>
      <w:pPr>
        <w:spacing w:after="140" w:line="288"/>
      </w:pPr>
      <w:r>
        <w:t xml:space="preserve">Because </w:t>
      </w:r>
      <m:oMath>
        <m:r>
          <m:t>x</m:t>
        </m:r>
      </m:oMath>
      <w:r>
        <w:t xml:space="preserve"> is strictly increasing in </w:t>
      </w:r>
      <m:oMath>
        <m:r>
          <m:t>μ</m:t>
        </m:r>
      </m:oMath>
      <w:r>
        <w:t xml:space="preserve"> it can be inverted, </w:t>
      </w:r>
      <m:oMath>
        <m:r>
          <m:t>μ = </m:t>
        </m:r>
        <m:sSup>
          <m:sSupPr/>
          <m:e>
            <m:r>
              <m:rPr>
                <m:nor/>
              </m:rPr>
              <m:t xml:space="preserve">e</m:t>
            </m:r>
          </m:e>
          <m:sup>
            <m:r>
              <m:t>x</m:t>
            </m:r>
          </m:sup>
        </m:sSup>
        <m:r>
          <m:t> − 1</m:t>
        </m:r>
      </m:oMath>
      <w:r>
        <w:t xml:space="preserve">, so the curve can also be written as two ordinary functions </w:t>
      </w:r>
      <m:oMath>
        <m:r>
          <m:t>y</m:t>
        </m:r>
      </m:oMath>
      <w:r>
        <w:t xml:space="preserve">(</w:t>
      </w:r>
      <m:oMath>
        <m:r>
          <m:t>x</m:t>
        </m:r>
      </m:oMath>
      <w:r>
        <w:t xml:space="preserve">) and </w:t>
      </w:r>
      <m:oMath>
        <m:r>
          <m:t>z</m:t>
        </m:r>
      </m:oMath>
      <w:r>
        <w:t xml:space="preserve">(</w:t>
      </w:r>
      <m:oMath>
        <m:r>
          <m:t>x</m:t>
        </m:r>
      </m:oMath>
      <w:r>
        <w:t xml:space="preserve">) — that is what Figure 2 plots. The parametric form is the natural one to keep, because the projection step of Section 8 needs the tangent </w:t>
      </w:r>
      <m:oMath>
        <m:sSup>
          <m:sSupPr/>
          <m:e>
            <m:r>
              <m:t>r</m:t>
            </m:r>
          </m:e>
          <m:sup>
            <m:r>
              <m:t>′</m:t>
            </m:r>
          </m:sup>
        </m:sSup>
        <m:d>
          <m:dPr/>
          <m:e>
            <m:r>
              <m:t>μ</m:t>
            </m:r>
          </m:e>
        </m:d>
      </m:oMath>
      <w:r>
        <w:t xml:space="preserve">.</w:t>
      </w:r>
    </w:p>
    <w:p>
      <w:pPr>
        <w:pStyle w:val="Heading2"/>
        <w:spacing w:after="120" w:before="240"/>
      </w:pPr>
      <w:r>
        <w:t xml:space="preserve">7.3 Inputs: what must be supplied to instantiate the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060"/>
        <w:gridCol w:w="1900"/>
      </w:tblGrid>
      <w:tr>
        <w:trPr>
          <w:tblHeader/>
        </w:trPr>
        <w:tc>
          <w:tcPr>
            <w:tcW w:type="dxa" w:w="1200"/>
            <w:shd w:fill="E4EBF4" w:color="auto" w:val="clear"/>
            <w:tcMar>
              <w:top w:type="dxa" w:w="70"/>
              <w:left w:type="dxa" w:w="110"/>
              <w:bottom w:type="dxa" w:w="70"/>
              <w:right w:type="dxa" w:w="110"/>
            </w:tcMar>
          </w:tcPr>
          <w:p>
            <w:pPr>
              <w:spacing w:after="0" w:line="240"/>
              <w:jc w:val="left"/>
            </w:pPr>
            <w:r>
              <w:rPr>
                <w:b/>
                <w:bCs/>
                <w:sz w:val="20"/>
                <w:szCs w:val="20"/>
              </w:rPr>
              <w:t xml:space="preserve">Input</w:t>
            </w:r>
          </w:p>
        </w:tc>
        <w:tc>
          <w:tcPr>
            <w:tcW w:type="dxa" w:w="3200"/>
            <w:shd w:fill="E4EBF4" w:color="auto" w:val="clear"/>
            <w:tcMar>
              <w:top w:type="dxa" w:w="70"/>
              <w:left w:type="dxa" w:w="110"/>
              <w:bottom w:type="dxa" w:w="70"/>
              <w:right w:type="dxa" w:w="110"/>
            </w:tcMar>
          </w:tcPr>
          <w:p>
            <w:pPr>
              <w:spacing w:after="0" w:line="240"/>
              <w:jc w:val="left"/>
            </w:pPr>
            <w:r>
              <w:rPr>
                <w:b/>
                <w:bCs/>
                <w:sz w:val="20"/>
                <w:szCs w:val="20"/>
              </w:rPr>
              <w:t xml:space="preserve">Meaning</w:t>
            </w:r>
          </w:p>
        </w:tc>
        <w:tc>
          <w:tcPr>
            <w:tcW w:type="dxa" w:w="3060"/>
            <w:shd w:fill="E4EBF4" w:color="auto" w:val="clear"/>
            <w:tcMar>
              <w:top w:type="dxa" w:w="70"/>
              <w:left w:type="dxa" w:w="110"/>
              <w:bottom w:type="dxa" w:w="70"/>
              <w:right w:type="dxa" w:w="110"/>
            </w:tcMar>
          </w:tcPr>
          <w:p>
            <w:pPr>
              <w:spacing w:after="0" w:line="240"/>
              <w:jc w:val="left"/>
            </w:pPr>
            <w:r>
              <w:rPr>
                <w:b/>
                <w:bCs/>
                <w:sz w:val="20"/>
                <w:szCs w:val="20"/>
              </w:rPr>
              <w:t xml:space="preserve">Where it comes from</w:t>
            </w:r>
          </w:p>
        </w:tc>
        <w:tc>
          <w:tcPr>
            <w:tcW w:type="dxa" w:w="1900"/>
            <w:shd w:fill="E4EBF4" w:color="auto" w:val="clear"/>
            <w:tcMar>
              <w:top w:type="dxa" w:w="70"/>
              <w:left w:type="dxa" w:w="110"/>
              <w:bottom w:type="dxa" w:w="70"/>
              <w:right w:type="dxa" w:w="110"/>
            </w:tcMar>
          </w:tcPr>
          <w:p>
            <w:pPr>
              <w:spacing w:after="0" w:line="240"/>
              <w:jc w:val="left"/>
            </w:pPr>
            <w:r>
              <w:rPr>
                <w:b/>
                <w:bCs/>
                <w:sz w:val="20"/>
                <w:szCs w:val="20"/>
              </w:rPr>
              <w:t xml:space="preserve">Fitted?</w:t>
            </w:r>
          </w:p>
        </w:tc>
      </w:tr>
      <w:tr>
        <w:trPr>
          <w:tblHeader w:val="false"/>
        </w:trPr>
        <w:tc>
          <w:tcPr>
            <w:tcW w:type="dxa" w:w="1200"/>
            <w:shd w:fill="FFFFFF" w:color="auto" w:val="clear"/>
            <w:tcMar>
              <w:top w:type="dxa" w:w="70"/>
              <w:left w:type="dxa" w:w="110"/>
              <w:bottom w:type="dxa" w:w="70"/>
              <w:right w:type="dxa" w:w="110"/>
            </w:tcMar>
          </w:tcPr>
          <w:p>
            <w:pPr>
              <w:spacing w:after="0" w:line="240"/>
              <w:jc w:val="left"/>
            </w:pPr>
            <m:oMath>
              <m:sSub>
                <m:sSubPr/>
                <m:e>
                  <m:r>
                    <m:t>L</m:t>
                  </m:r>
                </m:e>
                <m:sub>
                  <m:r>
                    <m:t>j</m:t>
                  </m:r>
                </m:sub>
              </m:sSub>
              <m:r>
                <m:t>, j = 1 … n</m:t>
              </m:r>
            </m:oMath>
          </w:p>
        </w:tc>
        <w:tc>
          <w:tcPr>
            <w:tcW w:type="dxa" w:w="3200"/>
            <w:shd w:fill="FFFFFF" w:color="auto" w:val="clear"/>
            <w:tcMar>
              <w:top w:type="dxa" w:w="70"/>
              <w:left w:type="dxa" w:w="110"/>
              <w:bottom w:type="dxa" w:w="70"/>
              <w:right w:type="dxa" w:w="110"/>
            </w:tcMar>
          </w:tcPr>
          <w:p>
            <w:pPr>
              <w:spacing w:after="0" w:line="240"/>
              <w:jc w:val="left"/>
            </w:pPr>
            <w:r>
              <w:rPr>
                <w:b w:val="false"/>
                <w:bCs w:val="false"/>
                <w:sz w:val="20"/>
                <w:szCs w:val="20"/>
              </w:rPr>
              <w:t xml:space="preserve">raw library size of each cell</w:t>
            </w:r>
          </w:p>
        </w:tc>
        <w:tc>
          <w:tcPr>
            <w:tcW w:type="dxa" w:w="3060"/>
            <w:shd w:fill="FFFFFF" w:color="auto" w:val="clear"/>
            <w:tcMar>
              <w:top w:type="dxa" w:w="70"/>
              <w:left w:type="dxa" w:w="110"/>
              <w:bottom w:type="dxa" w:w="70"/>
              <w:right w:type="dxa" w:w="110"/>
            </w:tcMar>
          </w:tcPr>
          <w:p>
            <w:pPr>
              <w:spacing w:after="0" w:line="240"/>
              <w:jc w:val="left"/>
            </w:pPr>
            <w:r>
              <w:rPr>
                <w:rFonts w:ascii="Consolas" w:cs="Consolas" w:eastAsia="Consolas" w:hAnsi="Consolas"/>
                <w:sz w:val="20"/>
                <w:szCs w:val="20"/>
              </w:rPr>
              <w:t xml:space="preserve">sum(Xraw,1)</w:t>
            </w:r>
            <w:r>
              <w:rPr>
                <w:sz w:val="20"/>
                <w:szCs w:val="20"/>
              </w:rPr>
              <w:t xml:space="preserve"> on the count matrix</w:t>
            </w:r>
          </w:p>
        </w:tc>
        <w:tc>
          <w:tcPr>
            <w:tcW w:type="dxa" w:w="1900"/>
            <w:shd w:fill="FFFFFF" w:color="auto" w:val="clear"/>
            <w:tcMar>
              <w:top w:type="dxa" w:w="70"/>
              <w:left w:type="dxa" w:w="110"/>
              <w:bottom w:type="dxa" w:w="70"/>
              <w:right w:type="dxa" w:w="110"/>
            </w:tcMar>
          </w:tcPr>
          <w:p>
            <w:pPr>
              <w:spacing w:after="0" w:line="240"/>
              <w:jc w:val="left"/>
            </w:pPr>
            <w:r>
              <w:rPr>
                <w:b w:val="false"/>
                <w:bCs w:val="false"/>
                <w:sz w:val="20"/>
                <w:szCs w:val="20"/>
              </w:rPr>
              <w:t xml:space="preserve">no — it is data</w:t>
            </w:r>
          </w:p>
        </w:tc>
      </w:tr>
      <w:tr>
        <w:trPr>
          <w:tblHeader w:val="false"/>
        </w:trPr>
        <w:tc>
          <w:tcPr>
            <w:tcW w:type="dxa" w:w="1200"/>
            <w:shd w:fill="FFFFFF" w:color="auto" w:val="clear"/>
            <w:tcMar>
              <w:top w:type="dxa" w:w="70"/>
              <w:left w:type="dxa" w:w="110"/>
              <w:bottom w:type="dxa" w:w="70"/>
              <w:right w:type="dxa" w:w="110"/>
            </w:tcMar>
          </w:tcPr>
          <w:p>
            <w:pPr>
              <w:spacing w:after="0" w:line="240"/>
              <w:jc w:val="left"/>
            </w:pPr>
            <m:oMath>
              <m:r>
                <m:t>c</m:t>
              </m:r>
            </m:oMath>
          </w:p>
        </w:tc>
        <w:tc>
          <w:tcPr>
            <w:tcW w:type="dxa" w:w="3200"/>
            <w:shd w:fill="FFFFFF" w:color="auto" w:val="clear"/>
            <w:tcMar>
              <w:top w:type="dxa" w:w="70"/>
              <w:left w:type="dxa" w:w="110"/>
              <w:bottom w:type="dxa" w:w="70"/>
              <w:right w:type="dxa" w:w="110"/>
            </w:tcMar>
          </w:tcPr>
          <w:p>
            <w:pPr>
              <w:spacing w:after="0" w:line="240"/>
              <w:jc w:val="left"/>
            </w:pPr>
            <w:r>
              <w:rPr>
                <w:b w:val="false"/>
                <w:bCs w:val="false"/>
                <w:sz w:val="20"/>
                <w:szCs w:val="20"/>
              </w:rPr>
              <w:t xml:space="preserve">normalization scale</w:t>
            </w:r>
          </w:p>
        </w:tc>
        <w:tc>
          <w:tcPr>
            <w:tcW w:type="dxa" w:w="3060"/>
            <w:shd w:fill="FFFFFF" w:color="auto" w:val="clear"/>
            <w:tcMar>
              <w:top w:type="dxa" w:w="70"/>
              <w:left w:type="dxa" w:w="110"/>
              <w:bottom w:type="dxa" w:w="70"/>
              <w:right w:type="dxa" w:w="110"/>
            </w:tcMar>
          </w:tcPr>
          <w:p>
            <w:pPr>
              <w:spacing w:after="0" w:line="240"/>
              <w:jc w:val="left"/>
            </w:pPr>
            <w:r>
              <w:rPr>
                <w:sz w:val="20"/>
                <w:szCs w:val="20"/>
              </w:rPr>
              <w:t xml:space="preserve">pipeline constant, </w:t>
            </w:r>
            <m:oMath>
              <m:r>
                <m:t>c = </m:t>
              </m:r>
            </m:oMath>
            <w:r>
              <w:rPr>
                <w:sz w:val="20"/>
                <w:szCs w:val="20"/>
              </w:rPr>
              <w:t xml:space="preserve">10</w:t>
            </w:r>
            <w:r>
              <w:rPr>
                <w:sz w:val="20"/>
                <w:szCs w:val="20"/>
                <w:vertAlign w:val="superscript"/>
              </w:rPr>
              <w:t xml:space="preserve">4</w:t>
            </w:r>
            <w:r>
              <w:rPr>
                <w:sz w:val="20"/>
                <w:szCs w:val="20"/>
              </w:rPr>
              <w:t xml:space="preserve"> (CP10K)</w:t>
            </w:r>
          </w:p>
        </w:tc>
        <w:tc>
          <w:tcPr>
            <w:tcW w:type="dxa" w:w="1900"/>
            <w:shd w:fill="FFFFFF" w:color="auto" w:val="clear"/>
            <w:tcMar>
              <w:top w:type="dxa" w:w="70"/>
              <w:left w:type="dxa" w:w="110"/>
              <w:bottom w:type="dxa" w:w="70"/>
              <w:right w:type="dxa" w:w="110"/>
            </w:tcMar>
          </w:tcPr>
          <w:p>
            <w:pPr>
              <w:spacing w:after="0" w:line="240"/>
              <w:jc w:val="left"/>
            </w:pPr>
            <w:r>
              <w:rPr>
                <w:b w:val="false"/>
                <w:bCs w:val="false"/>
                <w:sz w:val="20"/>
                <w:szCs w:val="20"/>
              </w:rPr>
              <w:t xml:space="preserve">no — a convention</w:t>
            </w:r>
          </w:p>
        </w:tc>
      </w:tr>
      <w:tr>
        <w:trPr>
          <w:tblHeader w:val="false"/>
        </w:trPr>
        <w:tc>
          <w:tcPr>
            <w:tcW w:type="dxa" w:w="1200"/>
            <w:shd w:fill="FFFFFF" w:color="auto" w:val="clear"/>
            <w:tcMar>
              <w:top w:type="dxa" w:w="70"/>
              <w:left w:type="dxa" w:w="110"/>
              <w:bottom w:type="dxa" w:w="70"/>
              <w:right w:type="dxa" w:w="110"/>
            </w:tcMar>
          </w:tcPr>
          <w:p>
            <w:pPr>
              <w:spacing w:after="0" w:line="240"/>
              <w:jc w:val="left"/>
            </w:pPr>
            <m:oMath>
              <m:r>
                <m:t>α</m:t>
              </m:r>
            </m:oMath>
          </w:p>
        </w:tc>
        <w:tc>
          <w:tcPr>
            <w:tcW w:type="dxa" w:w="3200"/>
            <w:shd w:fill="FFFFFF" w:color="auto" w:val="clear"/>
            <w:tcMar>
              <w:top w:type="dxa" w:w="70"/>
              <w:left w:type="dxa" w:w="110"/>
              <w:bottom w:type="dxa" w:w="70"/>
              <w:right w:type="dxa" w:w="110"/>
            </w:tcMar>
          </w:tcPr>
          <w:p>
            <w:pPr>
              <w:spacing w:after="0" w:line="240"/>
              <w:jc w:val="left"/>
            </w:pPr>
            <m:oMath>
              <m:r>
                <m:t>c</m:t>
              </m:r>
            </m:oMath>
            <w:r>
              <w:rPr>
                <w:sz w:val="20"/>
                <w:szCs w:val="20"/>
              </w:rPr>
              <w:t xml:space="preserve"> divided by the harmonic mean of the </w:t>
            </w:r>
            <m:oMath>
              <m:sSub>
                <m:sSubPr/>
                <m:e>
                  <m:r>
                    <m:t>L</m:t>
                  </m:r>
                </m:e>
                <m:sub>
                  <m:r>
                    <m:t>j</m:t>
                  </m:r>
                </m:sub>
              </m:sSub>
            </m:oMath>
          </w:p>
        </w:tc>
        <w:tc>
          <w:tcPr>
            <w:tcW w:type="dxa" w:w="3060"/>
            <w:shd w:fill="FFFFFF" w:color="auto" w:val="clear"/>
            <w:tcMar>
              <w:top w:type="dxa" w:w="70"/>
              <w:left w:type="dxa" w:w="110"/>
              <w:bottom w:type="dxa" w:w="70"/>
              <w:right w:type="dxa" w:w="110"/>
            </w:tcMar>
          </w:tcPr>
          <w:p>
            <w:pPr>
              <w:spacing w:after="0" w:line="240"/>
              <w:jc w:val="left"/>
            </w:pPr>
            <w:r>
              <w:rPr>
                <w:sz w:val="20"/>
                <w:szCs w:val="20"/>
              </w:rPr>
              <w:t xml:space="preserve">derived from the library sizes, equation (5)</w:t>
            </w:r>
          </w:p>
        </w:tc>
        <w:tc>
          <w:tcPr>
            <w:tcW w:type="dxa" w:w="1900"/>
            <w:shd w:fill="FFFFFF" w:color="auto" w:val="clear"/>
            <w:tcMar>
              <w:top w:type="dxa" w:w="70"/>
              <w:left w:type="dxa" w:w="110"/>
              <w:bottom w:type="dxa" w:w="70"/>
              <w:right w:type="dxa" w:w="110"/>
            </w:tcMar>
          </w:tcPr>
          <w:p>
            <w:pPr>
              <w:spacing w:after="0" w:line="240"/>
              <w:jc w:val="left"/>
            </w:pPr>
            <w:r>
              <w:rPr>
                <w:b w:val="false"/>
                <w:bCs w:val="false"/>
                <w:sz w:val="20"/>
                <w:szCs w:val="20"/>
              </w:rPr>
              <w:t xml:space="preserve">no — closed form</w:t>
            </w:r>
          </w:p>
        </w:tc>
      </w:tr>
      <w:tr>
        <w:trPr>
          <w:tblHeader w:val="false"/>
        </w:trPr>
        <w:tc>
          <w:tcPr>
            <w:tcW w:type="dxa" w:w="1200"/>
            <w:shd w:fill="FFFFFF" w:color="auto" w:val="clear"/>
            <w:tcMar>
              <w:top w:type="dxa" w:w="70"/>
              <w:left w:type="dxa" w:w="110"/>
              <w:bottom w:type="dxa" w:w="70"/>
              <w:right w:type="dxa" w:w="110"/>
            </w:tcMar>
          </w:tcPr>
          <w:p>
            <w:pPr>
              <w:spacing w:after="0" w:line="240"/>
              <w:jc w:val="left"/>
            </w:pPr>
            <m:oMath>
              <m:r>
                <m:t>φ</m:t>
              </m:r>
            </m:oMath>
          </w:p>
        </w:tc>
        <w:tc>
          <w:tcPr>
            <w:tcW w:type="dxa" w:w="3200"/>
            <w:shd w:fill="FFFFFF" w:color="auto" w:val="clear"/>
            <w:tcMar>
              <w:top w:type="dxa" w:w="70"/>
              <w:left w:type="dxa" w:w="110"/>
              <w:bottom w:type="dxa" w:w="70"/>
              <w:right w:type="dxa" w:w="110"/>
            </w:tcMar>
          </w:tcPr>
          <w:p>
            <w:pPr>
              <w:spacing w:after="0" w:line="240"/>
              <w:jc w:val="left"/>
            </w:pPr>
            <w:r>
              <w:rPr>
                <w:b w:val="false"/>
                <w:bCs w:val="false"/>
                <w:sz w:val="20"/>
                <w:szCs w:val="20"/>
              </w:rPr>
              <w:t xml:space="preserve">gene-level overdispersion; sets how far the CV branch sits above the Poisson floor</w:t>
            </w:r>
          </w:p>
        </w:tc>
        <w:tc>
          <w:tcPr>
            <w:tcW w:type="dxa" w:w="3060"/>
            <w:shd w:fill="FFFFFF" w:color="auto" w:val="clear"/>
            <w:tcMar>
              <w:top w:type="dxa" w:w="70"/>
              <w:left w:type="dxa" w:w="110"/>
              <w:bottom w:type="dxa" w:w="70"/>
              <w:right w:type="dxa" w:w="110"/>
            </w:tcMar>
          </w:tcPr>
          <w:p>
            <w:pPr>
              <w:spacing w:after="0" w:line="240"/>
              <w:jc w:val="left"/>
            </w:pPr>
            <w:r>
              <w:rPr>
                <w:sz w:val="20"/>
                <w:szCs w:val="20"/>
              </w:rPr>
              <w:t xml:space="preserve">robust L1 regression on the gene cloud, equation (16)</w:t>
            </w:r>
          </w:p>
        </w:tc>
        <w:tc>
          <w:tcPr>
            <w:tcW w:type="dxa" w:w="1900"/>
            <w:shd w:fill="FFFFFF" w:color="auto" w:val="clear"/>
            <w:tcMar>
              <w:top w:type="dxa" w:w="70"/>
              <w:left w:type="dxa" w:w="110"/>
              <w:bottom w:type="dxa" w:w="70"/>
              <w:right w:type="dxa" w:w="110"/>
            </w:tcMar>
          </w:tcPr>
          <w:p>
            <w:pPr>
              <w:spacing w:after="0" w:line="240"/>
              <w:jc w:val="left"/>
            </w:pPr>
            <w:r>
              <w:rPr>
                <w:b w:val="false"/>
                <w:bCs w:val="false"/>
                <w:sz w:val="20"/>
                <w:szCs w:val="20"/>
              </w:rPr>
              <w:t xml:space="preserve">yes — the only one</w:t>
            </w:r>
          </w:p>
        </w:tc>
      </w:tr>
      <w:tr>
        <w:trPr>
          <w:tblHeader w:val="false"/>
        </w:trPr>
        <w:tc>
          <w:tcPr>
            <w:tcW w:type="dxa" w:w="1200"/>
            <w:shd w:fill="FFFFFF" w:color="auto" w:val="clear"/>
            <w:tcMar>
              <w:top w:type="dxa" w:w="70"/>
              <w:left w:type="dxa" w:w="110"/>
              <w:bottom w:type="dxa" w:w="70"/>
              <w:right w:type="dxa" w:w="110"/>
            </w:tcMar>
          </w:tcPr>
          <w:p>
            <w:pPr>
              <w:spacing w:after="0" w:line="240"/>
              <w:jc w:val="left"/>
            </w:pPr>
            <m:oMath>
              <m:sSub>
                <m:sSubPr/>
                <m:e>
                  <m:r>
                    <m:t>φ</m:t>
                  </m:r>
                </m:e>
                <m:sub>
                  <m:r>
                    <m:t>z</m:t>
                  </m:r>
                </m:sub>
              </m:sSub>
            </m:oMath>
          </w:p>
        </w:tc>
        <w:tc>
          <w:tcPr>
            <w:tcW w:type="dxa" w:w="3200"/>
            <w:shd w:fill="FFFFFF" w:color="auto" w:val="clear"/>
            <w:tcMar>
              <w:top w:type="dxa" w:w="70"/>
              <w:left w:type="dxa" w:w="110"/>
              <w:bottom w:type="dxa" w:w="70"/>
              <w:right w:type="dxa" w:w="110"/>
            </w:tcMar>
          </w:tcPr>
          <w:p>
            <w:pPr>
              <w:spacing w:after="0" w:line="240"/>
              <w:jc w:val="left"/>
            </w:pPr>
            <w:r>
              <w:rPr>
                <w:b w:val="false"/>
                <w:bCs w:val="false"/>
                <w:sz w:val="20"/>
                <w:szCs w:val="20"/>
              </w:rPr>
              <w:t xml:space="preserve">overdispersion used for the dropout branch</w:t>
            </w:r>
          </w:p>
        </w:tc>
        <w:tc>
          <w:tcPr>
            <w:tcW w:type="dxa" w:w="3060"/>
            <w:shd w:fill="FFFFFF" w:color="auto" w:val="clear"/>
            <w:tcMar>
              <w:top w:type="dxa" w:w="70"/>
              <w:left w:type="dxa" w:w="110"/>
              <w:bottom w:type="dxa" w:w="70"/>
              <w:right w:type="dxa" w:w="110"/>
            </w:tcMar>
          </w:tcPr>
          <w:p>
            <w:pPr>
              <w:spacing w:after="0" w:line="240"/>
              <w:jc w:val="left"/>
            </w:pPr>
            <w:r>
              <w:rPr>
                <w:sz w:val="20"/>
                <w:szCs w:val="20"/>
              </w:rPr>
              <w:t xml:space="preserve">set to 0 (pure Poisson) by default</w:t>
            </w:r>
          </w:p>
        </w:tc>
        <w:tc>
          <w:tcPr>
            <w:tcW w:type="dxa" w:w="1900"/>
            <w:shd w:fill="FFFFFF" w:color="auto" w:val="clear"/>
            <w:tcMar>
              <w:top w:type="dxa" w:w="70"/>
              <w:left w:type="dxa" w:w="110"/>
              <w:bottom w:type="dxa" w:w="70"/>
              <w:right w:type="dxa" w:w="110"/>
            </w:tcMar>
          </w:tcPr>
          <w:p>
            <w:pPr>
              <w:spacing w:after="0" w:line="240"/>
              <w:jc w:val="left"/>
            </w:pPr>
            <w:r>
              <w:rPr>
                <w:b w:val="false"/>
                <w:bCs w:val="false"/>
                <w:sz w:val="20"/>
                <w:szCs w:val="20"/>
              </w:rPr>
              <w:t xml:space="preserve">no — fixed at 0</w:t>
            </w:r>
          </w:p>
        </w:tc>
      </w:tr>
    </w:tbl>
    <w:p>
      <w:pPr>
        <w:spacing w:after="200"/>
      </w:pPr>
    </w:p>
    <w:p>
      <w:pPr>
        <w:spacing w:after="140" w:line="288"/>
      </w:pPr>
      <w:r>
        <w:t xml:space="preserve">So the entire reference curve costs </w:t>
      </w:r>
      <w:r>
        <w:rPr>
          <w:b/>
          <w:bCs/>
        </w:rPr>
        <w:t xml:space="preserve">one fitted scalar</w:t>
      </w:r>
      <w:r>
        <w:t xml:space="preserve">. The dropout coordinate costs none: it is determined completely by the vector of library sizes.</w:t>
      </w:r>
    </w:p>
    <w:p>
      <w:pPr>
        <w:pStyle w:val="Heading2"/>
        <w:spacing w:after="120" w:before="240"/>
      </w:pPr>
      <w:r>
        <w:t xml:space="preserve">7.4 Outputs, per gene</w:t>
      </w:r>
    </w:p>
    <w:p>
      <w:pPr>
        <w:spacing w:after="140" w:line="288"/>
      </w:pPr>
      <w:r>
        <w:t xml:space="preserve">Once the curve exists, each gene enters as its observed triple </w:t>
      </w:r>
      <m:oMath>
        <m:sSub>
          <m:sSubPr/>
          <m:e>
            <m:r>
              <m:t>p</m:t>
            </m:r>
          </m:e>
          <m:sub>
            <m:r>
              <m:t>i</m:t>
            </m:r>
          </m:sub>
        </m:sSub>
        <m:r>
          <m:t> = </m:t>
        </m:r>
        <m:d>
          <m:dPr/>
          <m:e>
            <m:sSub>
              <m:sSubPr/>
              <m:e>
                <m:r>
                  <m:t>x</m:t>
                </m:r>
              </m:e>
              <m:sub>
                <m:r>
                  <m:t>i</m:t>
                </m:r>
              </m:sub>
            </m:sSub>
            <m:r>
              <m:t>, </m:t>
            </m:r>
            <m:sSub>
              <m:sSubPr/>
              <m:e>
                <m:r>
                  <m:t>y</m:t>
                </m:r>
              </m:e>
              <m:sub>
                <m:r>
                  <m:t>i</m:t>
                </m:r>
              </m:sub>
            </m:sSub>
            <m:r>
              <m:t>, </m:t>
            </m:r>
            <m:sSub>
              <m:sSubPr/>
              <m:e>
                <m:r>
                  <m:t>z</m:t>
                </m:r>
              </m:e>
              <m:sub>
                <m:r>
                  <m:t>i</m:t>
                </m:r>
              </m:sub>
            </m:sSub>
          </m:e>
        </m:d>
      </m:oMath>
      <w:r>
        <w:t xml:space="preserve"> and the projection of Section 8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4EBF4" w:color="auto" w:val="clear"/>
            <w:tcMar>
              <w:top w:type="dxa" w:w="70"/>
              <w:left w:type="dxa" w:w="110"/>
              <w:bottom w:type="dxa" w:w="70"/>
              <w:right w:type="dxa" w:w="110"/>
            </w:tcMar>
          </w:tcPr>
          <w:p>
            <w:pPr>
              <w:spacing w:after="0" w:line="240"/>
              <w:jc w:val="left"/>
            </w:pPr>
            <w:r>
              <w:rPr>
                <w:b/>
                <w:bCs/>
                <w:sz w:val="20"/>
                <w:szCs w:val="20"/>
              </w:rPr>
              <w:t xml:space="preserve">Output</w:t>
            </w:r>
          </w:p>
        </w:tc>
        <w:tc>
          <w:tcPr>
            <w:tcW w:type="dxa" w:w="6760"/>
            <w:shd w:fill="E4EBF4" w:color="auto" w:val="clear"/>
            <w:tcMar>
              <w:top w:type="dxa" w:w="70"/>
              <w:left w:type="dxa" w:w="110"/>
              <w:bottom w:type="dxa" w:w="70"/>
              <w:right w:type="dxa" w:w="110"/>
            </w:tcMar>
          </w:tcPr>
          <w:p>
            <w:pPr>
              <w:spacing w:after="0" w:line="240"/>
              <w:jc w:val="left"/>
            </w:pPr>
            <w:r>
              <w:rPr>
                <w:b/>
                <w:bCs/>
                <w:sz w:val="20"/>
                <w:szCs w:val="20"/>
              </w:rPr>
              <w:t xml:space="preserve">Interpretation</w:t>
            </w:r>
          </w:p>
        </w:tc>
      </w:tr>
      <w:tr>
        <w:trPr>
          <w:tblHeader w:val="false"/>
        </w:trPr>
        <w:tc>
          <w:tcPr>
            <w:tcW w:type="dxa" w:w="2600"/>
            <w:shd w:fill="FFFFFF" w:color="auto" w:val="clear"/>
            <w:tcMar>
              <w:top w:type="dxa" w:w="70"/>
              <w:left w:type="dxa" w:w="110"/>
              <w:bottom w:type="dxa" w:w="70"/>
              <w:right w:type="dxa" w:w="110"/>
            </w:tcMar>
          </w:tcPr>
          <w:p>
            <w:pPr>
              <w:spacing w:after="0" w:line="240"/>
              <w:jc w:val="left"/>
            </w:pPr>
            <m:oMath>
              <m:sSub>
                <m:sSubPr/>
                <m:e>
                  <m:r>
                    <m:t>μ̂</m:t>
                  </m:r>
                </m:e>
                <m:sub>
                  <m:r>
                    <m:t>i</m:t>
                  </m:r>
                </m:sub>
              </m:sSub>
            </m:oMath>
          </w:p>
        </w:tc>
        <w:tc>
          <w:tcPr>
            <w:tcW w:type="dxa" w:w="6760"/>
            <w:shd w:fill="FFFFFF" w:color="auto" w:val="clear"/>
            <w:tcMar>
              <w:top w:type="dxa" w:w="70"/>
              <w:left w:type="dxa" w:w="110"/>
              <w:bottom w:type="dxa" w:w="70"/>
              <w:right w:type="dxa" w:w="110"/>
            </w:tcMar>
          </w:tcPr>
          <w:p>
            <w:pPr>
              <w:spacing w:after="0" w:line="240"/>
              <w:jc w:val="left"/>
            </w:pPr>
            <w:r>
              <w:rPr>
                <w:b w:val="false"/>
                <w:bCs w:val="false"/>
                <w:sz w:val="20"/>
                <w:szCs w:val="20"/>
              </w:rPr>
              <w:t xml:space="preserve">the fitted expression rate at the foot point — an interpretable by-product the spline never produced</w:t>
            </w:r>
          </w:p>
        </w:tc>
      </w:tr>
      <w:tr>
        <w:trPr>
          <w:tblHeader w:val="false"/>
        </w:trPr>
        <w:tc>
          <w:tcPr>
            <w:tcW w:type="dxa" w:w="2600"/>
            <w:shd w:fill="FFFFFF" w:color="auto" w:val="clear"/>
            <w:tcMar>
              <w:top w:type="dxa" w:w="70"/>
              <w:left w:type="dxa" w:w="110"/>
              <w:bottom w:type="dxa" w:w="70"/>
              <w:right w:type="dxa" w:w="110"/>
            </w:tcMar>
          </w:tcPr>
          <w:p>
            <w:pPr>
              <w:spacing w:after="0" w:line="240"/>
              <w:jc w:val="left"/>
            </w:pPr>
            <m:oMath>
              <m:r>
                <m:t>r</m:t>
              </m:r>
              <m:d>
                <m:dPr/>
                <m:e>
                  <m:sSub>
                    <m:sSubPr/>
                    <m:e>
                      <m:r>
                        <m:t>μ̂</m:t>
                      </m:r>
                    </m:e>
                    <m:sub>
                      <m:r>
                        <m:t>i</m:t>
                      </m:r>
                    </m:sub>
                  </m:sSub>
                </m:e>
              </m:d>
            </m:oMath>
          </w:p>
        </w:tc>
        <w:tc>
          <w:tcPr>
            <w:tcW w:type="dxa" w:w="6760"/>
            <w:shd w:fill="FFFFFF" w:color="auto" w:val="clear"/>
            <w:tcMar>
              <w:top w:type="dxa" w:w="70"/>
              <w:left w:type="dxa" w:w="110"/>
              <w:bottom w:type="dxa" w:w="70"/>
              <w:right w:type="dxa" w:w="110"/>
            </w:tcMar>
          </w:tcPr>
          <w:p>
            <w:pPr>
              <w:spacing w:after="0" w:line="240"/>
              <w:jc w:val="left"/>
            </w:pPr>
            <w:r>
              <w:rPr>
                <w:sz w:val="20"/>
                <w:szCs w:val="20"/>
              </w:rPr>
              <w:t xml:space="preserve">the foot point on the curve (</w:t>
            </w:r>
            <w:r>
              <w:rPr>
                <w:rFonts w:ascii="Consolas" w:cs="Consolas" w:eastAsia="Consolas" w:hAnsi="Consolas"/>
                <w:sz w:val="20"/>
                <w:szCs w:val="20"/>
              </w:rPr>
              <w:t xml:space="preserve">xyzFit</w:t>
            </w:r>
            <w:r>
              <w:rPr>
                <w:sz w:val="20"/>
                <w:szCs w:val="20"/>
              </w:rPr>
              <w:t xml:space="preserve"> in the implementation)</w:t>
            </w:r>
          </w:p>
        </w:tc>
      </w:tr>
      <w:tr>
        <w:trPr>
          <w:tblHeader w:val="false"/>
        </w:trPr>
        <w:tc>
          <w:tcPr>
            <w:tcW w:type="dxa" w:w="2600"/>
            <w:shd w:fill="FFFFFF" w:color="auto" w:val="clear"/>
            <w:tcMar>
              <w:top w:type="dxa" w:w="70"/>
              <w:left w:type="dxa" w:w="110"/>
              <w:bottom w:type="dxa" w:w="70"/>
              <w:right w:type="dxa" w:w="110"/>
            </w:tcMar>
          </w:tcPr>
          <w:p>
            <w:pPr>
              <w:spacing w:after="0" w:line="240"/>
              <w:jc w:val="left"/>
            </w:pPr>
            <m:oMath>
              <m:sSub>
                <m:sSubPr/>
                <m:e>
                  <m:r>
                    <m:t>v</m:t>
                  </m:r>
                </m:e>
                <m:sub>
                  <m:r>
                    <m:t>i</m:t>
                  </m:r>
                </m:sub>
              </m:sSub>
              <m:r>
                <m:t> = </m:t>
              </m:r>
              <m:sSub>
                <m:sSubPr/>
                <m:e>
                  <m:r>
                    <m:t>p</m:t>
                  </m:r>
                </m:e>
                <m:sub>
                  <m:r>
                    <m:t>i</m:t>
                  </m:r>
                </m:sub>
              </m:sSub>
              <m:r>
                <m:t> − r</m:t>
              </m:r>
              <m:d>
                <m:dPr/>
                <m:e>
                  <m:sSub>
                    <m:sSubPr/>
                    <m:e>
                      <m:r>
                        <m:t>μ̂</m:t>
                      </m:r>
                    </m:e>
                    <m:sub>
                      <m:r>
                        <m:t>i</m:t>
                      </m:r>
                    </m:sub>
                  </m:sSub>
                </m:e>
              </m:d>
            </m:oMath>
          </w:p>
        </w:tc>
        <w:tc>
          <w:tcPr>
            <w:tcW w:type="dxa" w:w="6760"/>
            <w:shd w:fill="FFFFFF" w:color="auto" w:val="clear"/>
            <w:tcMar>
              <w:top w:type="dxa" w:w="70"/>
              <w:left w:type="dxa" w:w="110"/>
              <w:bottom w:type="dxa" w:w="70"/>
              <w:right w:type="dxa" w:w="110"/>
            </w:tcMar>
          </w:tcPr>
          <w:p>
            <w:pPr>
              <w:spacing w:after="0" w:line="240"/>
              <w:jc w:val="left"/>
            </w:pPr>
            <w:r>
              <w:rPr>
                <w:sz w:val="20"/>
                <w:szCs w:val="20"/>
              </w:rPr>
              <w:t xml:space="preserve">the deviation vector; its length </w:t>
            </w:r>
            <m:oMath>
              <m:sSub>
                <m:sSubPr/>
                <m:e>
                  <m:r>
                    <m:t>d</m:t>
                  </m:r>
                </m:e>
                <m:sub>
                  <m:r>
                    <m:t>i</m:t>
                  </m:r>
                </m:sub>
              </m:sSub>
            </m:oMath>
            <w:r>
              <w:rPr>
                <w:sz w:val="20"/>
                <w:szCs w:val="20"/>
              </w:rPr>
              <w:t xml:space="preserve"> is the per-condition variability statistic</w:t>
            </w:r>
          </w:p>
        </w:tc>
      </w:tr>
      <w:tr>
        <w:trPr>
          <w:tblHeader w:val="false"/>
        </w:trPr>
        <w:tc>
          <w:tcPr>
            <w:tcW w:type="dxa" w:w="2600"/>
            <w:shd w:fill="FFFFFF" w:color="auto" w:val="clear"/>
            <w:tcMar>
              <w:top w:type="dxa" w:w="70"/>
              <w:left w:type="dxa" w:w="110"/>
              <w:bottom w:type="dxa" w:w="70"/>
              <w:right w:type="dxa" w:w="110"/>
            </w:tcMar>
          </w:tcPr>
          <w:p>
            <w:pPr>
              <w:spacing w:after="0" w:line="240"/>
              <w:jc w:val="left"/>
            </w:pPr>
            <m:oMath>
              <m:r>
                <m:t>‖</m:t>
              </m:r>
              <m:sSup>
                <m:sSupPr/>
                <m:e>
                  <m:sSub>
                    <m:sSubPr/>
                    <m:e>
                      <m:r>
                        <m:t>v</m:t>
                      </m:r>
                    </m:e>
                    <m:sub>
                      <m:r>
                        <m:t>i</m:t>
                      </m:r>
                    </m:sub>
                  </m:sSub>
                </m:e>
                <m:sup>
                  <m:r>
                    <m:t>(2)</m:t>
                  </m:r>
                </m:sup>
              </m:sSup>
              <m:r>
                <m:t> − </m:t>
              </m:r>
              <m:sSup>
                <m:sSupPr/>
                <m:e>
                  <m:sSub>
                    <m:sSubPr/>
                    <m:e>
                      <m:r>
                        <m:t>v</m:t>
                      </m:r>
                    </m:e>
                    <m:sub>
                      <m:r>
                        <m:t>i</m:t>
                      </m:r>
                    </m:sub>
                  </m:sSub>
                </m:e>
                <m:sup>
                  <m:r>
                    <m:t>(1)</m:t>
                  </m:r>
                </m:sup>
              </m:sSup>
              <m:r>
                <m:t>‖</m:t>
              </m:r>
            </m:oMath>
          </w:p>
        </w:tc>
        <w:tc>
          <w:tcPr>
            <w:tcW w:type="dxa" w:w="6760"/>
            <w:shd w:fill="FFFFFF" w:color="auto" w:val="clear"/>
            <w:tcMar>
              <w:top w:type="dxa" w:w="70"/>
              <w:left w:type="dxa" w:w="110"/>
              <w:bottom w:type="dxa" w:w="70"/>
              <w:right w:type="dxa" w:w="110"/>
            </w:tcMar>
          </w:tcPr>
          <w:p>
            <w:pPr>
              <w:spacing w:after="0" w:line="240"/>
              <w:jc w:val="left"/>
            </w:pPr>
            <w:r>
              <w:rPr>
                <w:b w:val="false"/>
                <w:bCs w:val="false"/>
                <w:sz w:val="20"/>
                <w:szCs w:val="20"/>
              </w:rPr>
              <w:t xml:space="preserve">the DV score across the two conditions, exactly as in the original method</w:t>
            </w:r>
          </w:p>
        </w:tc>
      </w:tr>
    </w:tbl>
    <w:p>
      <w:pPr>
        <w:spacing w:after="200"/>
      </w:pPr>
    </w:p>
    <w:p>
      <w:pPr>
        <w:spacing w:after="140" w:line="288"/>
      </w:pPr>
      <w:r>
        <w:t xml:space="preserve">One consequence is worth stating plainly. In the spline version, all 9,654 genes are collectively inputs to estimating the reference curve, so the reference depends on the sample in an uncontrolled way. In the analytic version the genes enter the reference only through the single scalar </w:t>
      </w:r>
      <m:oMath>
        <m:r>
          <m:t>φ</m:t>
        </m:r>
      </m:oMath>
      <w:r>
        <w:t xml:space="preserve">; its shape is otherwise fixed by the library sizes. That is what makes the two conditions' reference curves comparable to each other.</w:t>
      </w:r>
    </w:p>
    <w:p>
      <w:pPr>
        <w:pStyle w:val="Heading1"/>
        <w:spacing w:after="160" w:before="320"/>
      </w:pPr>
      <w:r>
        <w:t xml:space="preserve">8. Projecting a gene onto the curve</w:t>
      </w:r>
    </w:p>
    <w:p>
      <w:pPr>
        <w:spacing w:after="140" w:line="288"/>
      </w:pPr>
      <w:r>
        <w:t xml:space="preserve">Because the curve is analytic, the foot point of a gene is the root of a scalar equation rather than a nearest-neighbour search over a discretized polyline. The derivatives are</w:t>
      </w:r>
    </w:p>
    <w:p>
      <w:pPr>
        <w:tabs>
          <w:tab w:val="center" w:pos="4680"/>
          <w:tab w:val="right" w:pos="9360"/>
        </w:tabs>
        <w:spacing w:after="180" w:before="180"/>
      </w:pPr>
      <w:r>
        <w:tab/>
      </w:r>
      <m:oMath>
        <m:sSup>
          <m:sSupPr/>
          <m:e>
            <m:r>
              <m:t>x</m:t>
            </m:r>
          </m:e>
          <m:sup>
            <m:r>
              <m:t>′</m:t>
            </m:r>
          </m:sup>
        </m:sSup>
        <m:d>
          <m:dPr/>
          <m:e>
            <m:r>
              <m:t>μ</m:t>
            </m:r>
          </m:e>
        </m:d>
        <m:r>
          <m:t> = </m:t>
        </m:r>
        <m:f>
          <m:num>
            <m:r>
              <m:t>1</m:t>
            </m:r>
          </m:num>
          <m:den>
            <m:r>
              <m:t>1 + μ</m:t>
            </m:r>
          </m:den>
        </m:f>
        <m:r>
          <m:t>,        </m:t>
        </m:r>
        <m:sSup>
          <m:sSupPr/>
          <m:e>
            <m:r>
              <m:t>y</m:t>
            </m:r>
          </m:e>
          <m:sup>
            <m:r>
              <m:t>′</m:t>
            </m:r>
          </m:sup>
        </m:sSup>
        <m:d>
          <m:dPr/>
          <m:e>
            <m:r>
              <m:t>μ</m:t>
            </m:r>
          </m:e>
        </m:d>
        <m:r>
          <m:t> = </m:t>
        </m:r>
        <m:f>
          <m:num>
            <m:sSup>
              <m:sSupPr/>
              <m:e>
                <m:r>
                  <m:t>w</m:t>
                </m:r>
              </m:e>
              <m:sup>
                <m:r>
                  <m:t>′</m:t>
                </m:r>
              </m:sup>
            </m:sSup>
          </m:num>
          <m:den>
            <m:r>
              <m:t>1 + w</m:t>
            </m:r>
          </m:den>
        </m:f>
        <m:r>
          <m:t>,     w = </m:t>
        </m:r>
        <m:rad>
          <m:radPr>
            <m:degHide m:val="1"/>
          </m:radPr>
          <m:deg/>
          <m:e>
            <m:f>
              <m:num>
                <m:r>
                  <m:t>α</m:t>
                </m:r>
              </m:num>
              <m:den>
                <m:r>
                  <m:t>μ</m:t>
                </m:r>
              </m:den>
            </m:f>
            <m:r>
              <m:t> + φ</m:t>
            </m:r>
          </m:e>
        </m:rad>
        <m:r>
          <m:t>,     </m:t>
        </m:r>
        <m:sSup>
          <m:sSupPr/>
          <m:e>
            <m:r>
              <m:t>w</m:t>
            </m:r>
          </m:e>
          <m:sup>
            <m:r>
              <m:t>′</m:t>
            </m:r>
          </m:sup>
        </m:sSup>
        <m:r>
          <m:t> = − </m:t>
        </m:r>
        <m:f>
          <m:num>
            <m:r>
              <m:t>α</m:t>
            </m:r>
          </m:num>
          <m:den>
            <m:r>
              <m:t>2</m:t>
            </m:r>
            <m:sSup>
              <m:sSupPr/>
              <m:e>
                <m:r>
                  <m:t>μ</m:t>
                </m:r>
              </m:e>
              <m:sup>
                <m:r>
                  <m:t>2</m:t>
                </m:r>
              </m:sup>
            </m:sSup>
            <m:r>
              <m:t> w</m:t>
            </m:r>
          </m:den>
        </m:f>
      </m:oMath>
      <w:r>
        <w:tab/>
      </w:r>
      <w:r>
        <w:t xml:space="preserve">(13)</w:t>
      </w:r>
    </w:p>
    <w:p>
      <w:pPr>
        <w:tabs>
          <w:tab w:val="center" w:pos="4680"/>
          <w:tab w:val="right" w:pos="9360"/>
        </w:tabs>
        <w:spacing w:after="180" w:before="180"/>
      </w:pPr>
      <w:r>
        <w:tab/>
      </w:r>
      <m:oMath>
        <m:sSup>
          <m:sSupPr/>
          <m:e>
            <m:r>
              <m:t>z</m:t>
            </m:r>
          </m:e>
          <m:sup>
            <m:r>
              <m:t>′</m:t>
            </m:r>
          </m:sup>
        </m:sSup>
        <m:d>
          <m:dPr/>
          <m:e>
            <m:r>
              <m:t>μ</m:t>
            </m:r>
          </m:e>
        </m:d>
        <m:r>
          <m:t> = − </m:t>
        </m:r>
        <m:f>
          <m:num>
            <m:r>
              <m:t>1</m:t>
            </m:r>
          </m:num>
          <m:den>
            <m:r>
              <m:t>n</m:t>
            </m:r>
          </m:den>
        </m:f>
        <m:nary>
          <m:naryPr>
            <m:chr m:val="∑"/>
            <m:limLoc m:val="undOvr"/>
          </m:naryPr>
          <m:sub>
            <m:r>
              <m:t>j=1</m:t>
            </m:r>
          </m:sub>
          <m:sup>
            <m:r>
              <m:t>n</m:t>
            </m:r>
          </m:sup>
          <m:e>
            <m:f>
              <m:num>
                <m:sSub>
                  <m:sSubPr/>
                  <m:e>
                    <m:r>
                      <m:t>L</m:t>
                    </m:r>
                  </m:e>
                  <m:sub>
                    <m:r>
                      <m:t>j</m:t>
                    </m:r>
                  </m:sub>
                </m:sSub>
              </m:num>
              <m:den>
                <m:r>
                  <m:t>c</m:t>
                </m:r>
              </m:den>
            </m:f>
            <m:sSup>
              <m:sSupPr/>
              <m:e>
                <m:r>
                  <m:rPr>
                    <m:nor/>
                  </m:rPr>
                  <m:t xml:space="preserve">e</m:t>
                </m:r>
              </m:e>
              <m:sup>
                <m:r>
                  <m:t>−</m:t>
                </m:r>
                <m:sSub>
                  <m:sSubPr/>
                  <m:e>
                    <m:r>
                      <m:t>L</m:t>
                    </m:r>
                  </m:e>
                  <m:sub>
                    <m:r>
                      <m:t>j</m:t>
                    </m:r>
                  </m:sub>
                </m:sSub>
                <m:r>
                  <m:t> μ / c</m:t>
                </m:r>
              </m:sup>
            </m:sSup>
          </m:e>
        </m:nary>
      </m:oMath>
      <w:r>
        <w:tab/>
      </w:r>
      <w:r>
        <w:t xml:space="preserve">(14)</w:t>
      </w:r>
    </w:p>
    <w:p>
      <w:pPr>
        <w:spacing w:after="140" w:line="288"/>
      </w:pPr>
      <w:r>
        <w:t xml:space="preserve">and the foot point of a gene at </w:t>
      </w:r>
      <m:oMath>
        <m:r>
          <m:t>p</m:t>
        </m:r>
      </m:oMath>
      <w:r>
        <w:t xml:space="preserve"> is the value of </w:t>
      </w:r>
      <m:oMath>
        <m:r>
          <m:t>μ</m:t>
        </m:r>
      </m:oMath>
      <w:r>
        <w:t xml:space="preserve"> satisfying the orthogonality condition</w:t>
      </w:r>
    </w:p>
    <w:p>
      <w:pPr>
        <w:tabs>
          <w:tab w:val="center" w:pos="4680"/>
          <w:tab w:val="right" w:pos="9360"/>
        </w:tabs>
        <w:spacing w:after="180" w:before="180"/>
      </w:pPr>
      <w:r>
        <w:tab/>
      </w:r>
      <m:oMath>
        <m:d>
          <m:dPr>
            <m:begChr m:val="["/>
            <m:endChr m:val="]"/>
          </m:dPr>
          <m:e>
            <m:r>
              <m:t>r</m:t>
            </m:r>
            <m:d>
              <m:dPr/>
              <m:e>
                <m:r>
                  <m:t>μ</m:t>
                </m:r>
              </m:e>
            </m:d>
            <m:r>
              <m:t> − p</m:t>
            </m:r>
          </m:e>
        </m:d>
        <m:r>
          <m:t> · </m:t>
        </m:r>
        <m:sSup>
          <m:sSupPr/>
          <m:e>
            <m:r>
              <m:t>r</m:t>
            </m:r>
          </m:e>
          <m:sup>
            <m:r>
              <m:t>′</m:t>
            </m:r>
          </m:sup>
        </m:sSup>
        <m:d>
          <m:dPr/>
          <m:e>
            <m:r>
              <m:t>μ</m:t>
            </m:r>
          </m:e>
        </m:d>
        <m:r>
          <m:t> = 0</m:t>
        </m:r>
      </m:oMath>
      <w:r>
        <w:tab/>
      </w:r>
      <w:r>
        <w:t xml:space="preserve">(15)</w:t>
      </w:r>
    </w:p>
    <w:p>
      <w:pPr>
        <w:spacing w:after="140" w:line="288"/>
      </w:pPr>
      <w:r>
        <w:t xml:space="preserve">In the shipped implementation this is solved by a coarse grid search refined parabolically in </w:t>
      </w:r>
      <m:oMath>
        <m:r>
          <m:rPr>
            <m:nor/>
          </m:rPr>
          <m:t xml:space="preserve">log</m:t>
        </m:r>
        <m:r>
          <m:t> μ</m:t>
        </m:r>
      </m:oMath>
      <w:r>
        <w:t xml:space="preserve">, which agrees with a 150,000-point brute-force search to within 1.5 × 10</w:t>
      </w:r>
      <w:r>
        <w:rPr>
          <w:vertAlign w:val="superscript"/>
        </w:rPr>
        <w:t xml:space="preserve">−6</w:t>
      </w:r>
      <w:r>
        <w:t xml:space="preserve">.</w:t>
      </w:r>
    </w:p>
    <w:p>
      <w:pPr>
        <w:pStyle w:val="Heading1"/>
        <w:spacing w:after="160" w:before="320"/>
      </w:pPr>
      <w:r>
        <w:t xml:space="preserve">9. Estimating the single free parameter</w:t>
      </w:r>
    </w:p>
    <w:p>
      <w:pPr>
        <w:spacing w:after="140" w:line="288"/>
      </w:pPr>
      <w:r>
        <w:t xml:space="preserve">The overdispersion can be fitted by a one-dimensional robust regression directly on the gene cloud, so no spline is needed anywhere in the pipeline:</w:t>
      </w:r>
    </w:p>
    <w:p>
      <w:pPr>
        <w:tabs>
          <w:tab w:val="center" w:pos="4680"/>
          <w:tab w:val="right" w:pos="9360"/>
        </w:tabs>
        <w:spacing w:after="180" w:before="180"/>
      </w:pPr>
      <w:r>
        <w:tab/>
      </w:r>
      <m:oMath>
        <m:r>
          <m:t>φ̂</m:t>
        </m:r>
        <m:r>
          <m:t> = </m:t>
        </m:r>
        <m:sSub>
          <m:sSubPr/>
          <m:e>
            <m:r>
              <m:rPr>
                <m:nor/>
              </m:rPr>
              <m:t xml:space="preserve">arg min</m:t>
            </m:r>
          </m:e>
          <m:sub>
            <m:r>
              <m:t>φ</m:t>
            </m:r>
          </m:sub>
        </m:sSub>
        <m:nary>
          <m:naryPr>
            <m:chr m:val="∑"/>
            <m:limLoc m:val="undOvr"/>
            <m:supHide m:val="1"/>
          </m:naryPr>
          <m:sub>
            <m:r>
              <m:t>i</m:t>
            </m:r>
          </m:sub>
          <m:e>
            <m:r>
              <m:t> | </m:t>
            </m:r>
            <m:r>
              <m:rPr>
                <m:nor/>
              </m:rPr>
              <m:t xml:space="preserve">log</m:t>
            </m:r>
            <m:d>
              <m:dPr/>
              <m:e>
                <m:r>
                  <m:t>1 + </m:t>
                </m:r>
                <m:rad>
                  <m:radPr>
                    <m:degHide m:val="1"/>
                  </m:radPr>
                  <m:deg/>
                  <m:e>
                    <m:f>
                      <m:num>
                        <m:r>
                          <m:t>α</m:t>
                        </m:r>
                      </m:num>
                      <m:den>
                        <m:sSub>
                          <m:sSubPr/>
                          <m:e>
                            <m:r>
                              <m:t>μ</m:t>
                            </m:r>
                          </m:e>
                          <m:sub>
                            <m:r>
                              <m:t>i</m:t>
                            </m:r>
                          </m:sub>
                        </m:sSub>
                      </m:den>
                    </m:f>
                    <m:r>
                      <m:t> + φ</m:t>
                    </m:r>
                  </m:e>
                </m:rad>
              </m:e>
            </m:d>
            <m:r>
              <m:t> − </m:t>
            </m:r>
            <m:r>
              <m:rPr>
                <m:nor/>
              </m:rPr>
              <m:t xml:space="preserve">log</m:t>
            </m:r>
            <m:d>
              <m:dPr/>
              <m:e>
                <m:r>
                  <m:t>1 + </m:t>
                </m:r>
                <m:sSub>
                  <m:sSubPr/>
                  <m:e>
                    <m:r>
                      <m:t>C</m:t>
                    </m:r>
                  </m:e>
                  <m:sub>
                    <m:r>
                      <m:t>σ,i</m:t>
                    </m:r>
                  </m:sub>
                </m:sSub>
              </m:e>
            </m:d>
            <m:r>
              <m:t> | </m:t>
            </m:r>
          </m:e>
        </m:nary>
      </m:oMath>
      <w:r>
        <w:tab/>
      </w:r>
      <w:r>
        <w:t xml:space="preserve">(16)</w:t>
      </w:r>
    </w:p>
    <w:p>
      <w:pPr>
        <w:spacing w:after="140" w:line="288"/>
      </w:pPr>
      <w:r>
        <w:t xml:space="preserve">The L1 loss keeps genuinely variable genes from dragging the reference curve upward — the role the spline's 0.75 robustness weight plays today.</w:t>
      </w:r>
    </w:p>
    <w:p>
      <w:pPr>
        <w:pStyle w:val="Heading1"/>
        <w:spacing w:after="160" w:before="320"/>
      </w:pPr>
      <w:r>
        <w:t xml:space="preserve">10. Numerical validation</w:t>
      </w:r>
    </w:p>
    <w:p>
      <w:pPr>
        <w:spacing w:after="140" w:line="288"/>
      </w:pPr>
      <w:r>
        <w:t xml:space="preserve">Bundled data (</w:t>
      </w:r>
      <w:r>
        <w:rPr>
          <w:rFonts w:ascii="Consolas" w:cs="Consolas" w:eastAsia="Consolas" w:hAnsi="Consolas"/>
          <w:sz w:val="20"/>
          <w:szCs w:val="20"/>
        </w:rPr>
        <w:t xml:space="preserve">MATLAB/GSM3308547_GSM3308548.mat</w:t>
      </w:r>
      <w:r>
        <w:t xml:space="preserve">), QC-filtered with the gene sets intersected: 9,654 genes, 994 and 875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E4EBF4" w:color="auto" w:val="clear"/>
            <w:tcMar>
              <w:top w:type="dxa" w:w="70"/>
              <w:left w:type="dxa" w:w="110"/>
              <w:bottom w:type="dxa" w:w="70"/>
              <w:right w:type="dxa" w:w="110"/>
            </w:tcMar>
          </w:tcPr>
          <w:p>
            <w:pPr>
              <w:spacing w:after="0" w:line="240"/>
              <w:jc w:val="left"/>
            </w:pPr>
            <w:r>
              <w:rPr>
                <w:b/>
                <w:bCs/>
                <w:sz w:val="20"/>
                <w:szCs w:val="20"/>
              </w:rPr>
              <w:t xml:space="preserve">Quantity</w:t>
            </w:r>
          </w:p>
        </w:tc>
        <w:tc>
          <w:tcPr>
            <w:tcW w:type="dxa" w:w="2340"/>
            <w:shd w:fill="E4EBF4" w:color="auto" w:val="clear"/>
            <w:tcMar>
              <w:top w:type="dxa" w:w="70"/>
              <w:left w:type="dxa" w:w="110"/>
              <w:bottom w:type="dxa" w:w="70"/>
              <w:right w:type="dxa" w:w="110"/>
            </w:tcMar>
          </w:tcPr>
          <w:p>
            <w:pPr>
              <w:spacing w:after="0" w:line="240"/>
              <w:jc w:val="center"/>
            </w:pPr>
            <w:r>
              <w:rPr>
                <w:b/>
                <w:bCs/>
                <w:sz w:val="20"/>
                <w:szCs w:val="20"/>
              </w:rPr>
              <w:t xml:space="preserve">Sample 1 (994 cells)</w:t>
            </w:r>
          </w:p>
        </w:tc>
        <w:tc>
          <w:tcPr>
            <w:tcW w:type="dxa" w:w="2340"/>
            <w:shd w:fill="E4EBF4" w:color="auto" w:val="clear"/>
            <w:tcMar>
              <w:top w:type="dxa" w:w="70"/>
              <w:left w:type="dxa" w:w="110"/>
              <w:bottom w:type="dxa" w:w="70"/>
              <w:right w:type="dxa" w:w="110"/>
            </w:tcMar>
          </w:tcPr>
          <w:p>
            <w:pPr>
              <w:spacing w:after="0" w:line="240"/>
              <w:jc w:val="center"/>
            </w:pPr>
            <w:r>
              <w:rPr>
                <w:b/>
                <w:bCs/>
                <w:sz w:val="20"/>
                <w:szCs w:val="20"/>
              </w:rPr>
              <w:t xml:space="preserve">Sample 2 (875 cells)</w:t>
            </w:r>
          </w:p>
        </w:tc>
      </w:tr>
      <w:tr>
        <w:trPr>
          <w:tblHeader w:val="false"/>
        </w:trPr>
        <w:tc>
          <w:tcPr>
            <w:tcW w:type="dxa" w:w="4680"/>
            <w:shd w:fill="FFFFFF" w:color="auto" w:val="clear"/>
            <w:tcMar>
              <w:top w:type="dxa" w:w="70"/>
              <w:left w:type="dxa" w:w="110"/>
              <w:bottom w:type="dxa" w:w="70"/>
              <w:right w:type="dxa" w:w="110"/>
            </w:tcMar>
          </w:tcPr>
          <w:p>
            <w:pPr>
              <w:spacing w:after="0" w:line="240"/>
              <w:jc w:val="left"/>
            </w:pPr>
            <m:oMath>
              <m:r>
                <m:t>α</m:t>
              </m:r>
            </m:oMath>
            <w:r>
              <w:rPr>
                <w:sz w:val="20"/>
                <w:szCs w:val="20"/>
              </w:rPr>
              <w:t xml:space="preserve"> (closed form, not fitted)</w:t>
            </w:r>
          </w:p>
        </w:tc>
        <w:tc>
          <w:tcPr>
            <w:tcW w:type="dxa" w:w="2340"/>
            <w:shd w:fill="FFFFFF" w:color="auto" w:val="clear"/>
            <w:tcMar>
              <w:top w:type="dxa" w:w="70"/>
              <w:left w:type="dxa" w:w="110"/>
              <w:bottom w:type="dxa" w:w="70"/>
              <w:right w:type="dxa" w:w="110"/>
            </w:tcMar>
          </w:tcPr>
          <w:p>
            <w:pPr>
              <w:spacing w:after="0" w:line="240"/>
              <w:jc w:val="center"/>
            </w:pPr>
            <w:r>
              <w:rPr>
                <w:b w:val="false"/>
                <w:bCs w:val="false"/>
                <w:sz w:val="20"/>
                <w:szCs w:val="20"/>
              </w:rPr>
              <w:t xml:space="preserve">1.9973</w:t>
            </w:r>
          </w:p>
        </w:tc>
        <w:tc>
          <w:tcPr>
            <w:tcW w:type="dxa" w:w="2340"/>
            <w:shd w:fill="FFFFFF" w:color="auto" w:val="clear"/>
            <w:tcMar>
              <w:top w:type="dxa" w:w="70"/>
              <w:left w:type="dxa" w:w="110"/>
              <w:bottom w:type="dxa" w:w="70"/>
              <w:right w:type="dxa" w:w="110"/>
            </w:tcMar>
          </w:tcPr>
          <w:p>
            <w:pPr>
              <w:spacing w:after="0" w:line="240"/>
              <w:jc w:val="center"/>
            </w:pPr>
            <w:r>
              <w:rPr>
                <w:b w:val="false"/>
                <w:bCs w:val="false"/>
                <w:sz w:val="20"/>
                <w:szCs w:val="20"/>
              </w:rPr>
              <w:t xml:space="preserve">1.5970</w:t>
            </w:r>
          </w:p>
        </w:tc>
      </w:tr>
      <w:tr>
        <w:trPr>
          <w:tblHeader w:val="false"/>
        </w:trPr>
        <w:tc>
          <w:tcPr>
            <w:tcW w:type="dxa" w:w="4680"/>
            <w:shd w:fill="FFFFFF" w:color="auto" w:val="clear"/>
            <w:tcMar>
              <w:top w:type="dxa" w:w="70"/>
              <w:left w:type="dxa" w:w="110"/>
              <w:bottom w:type="dxa" w:w="70"/>
              <w:right w:type="dxa" w:w="110"/>
            </w:tcMar>
          </w:tcPr>
          <w:p>
            <w:pPr>
              <w:spacing w:after="0" w:line="240"/>
              <w:jc w:val="left"/>
            </w:pPr>
            <m:oMath>
              <m:r>
                <m:t>φ̂</m:t>
              </m:r>
            </m:oMath>
            <w:r>
              <w:rPr>
                <w:sz w:val="20"/>
                <w:szCs w:val="20"/>
              </w:rPr>
              <w:t xml:space="preserve"> (L1 fit on genes / fit to spline)</w:t>
            </w:r>
          </w:p>
        </w:tc>
        <w:tc>
          <w:tcPr>
            <w:tcW w:type="dxa" w:w="2340"/>
            <w:shd w:fill="FFFFFF" w:color="auto" w:val="clear"/>
            <w:tcMar>
              <w:top w:type="dxa" w:w="70"/>
              <w:left w:type="dxa" w:w="110"/>
              <w:bottom w:type="dxa" w:w="70"/>
              <w:right w:type="dxa" w:w="110"/>
            </w:tcMar>
          </w:tcPr>
          <w:p>
            <w:pPr>
              <w:spacing w:after="0" w:line="240"/>
              <w:jc w:val="center"/>
            </w:pPr>
            <w:r>
              <w:rPr>
                <w:b w:val="false"/>
                <w:bCs w:val="false"/>
                <w:sz w:val="20"/>
                <w:szCs w:val="20"/>
              </w:rPr>
              <w:t xml:space="preserve">0.152 / 0.129</w:t>
            </w:r>
          </w:p>
        </w:tc>
        <w:tc>
          <w:tcPr>
            <w:tcW w:type="dxa" w:w="2340"/>
            <w:shd w:fill="FFFFFF" w:color="auto" w:val="clear"/>
            <w:tcMar>
              <w:top w:type="dxa" w:w="70"/>
              <w:left w:type="dxa" w:w="110"/>
              <w:bottom w:type="dxa" w:w="70"/>
              <w:right w:type="dxa" w:w="110"/>
            </w:tcMar>
          </w:tcPr>
          <w:p>
            <w:pPr>
              <w:spacing w:after="0" w:line="240"/>
              <w:jc w:val="center"/>
            </w:pPr>
            <w:r>
              <w:rPr>
                <w:b w:val="false"/>
                <w:bCs w:val="false"/>
                <w:sz w:val="20"/>
                <w:szCs w:val="20"/>
              </w:rPr>
              <w:t xml:space="preserve">0.200 / 0.159</w:t>
            </w:r>
          </w:p>
        </w:tc>
      </w:tr>
      <w:tr>
        <w:trPr>
          <w:tblHeader w:val="false"/>
        </w:trPr>
        <w:tc>
          <w:tcPr>
            <w:tcW w:type="dxa" w:w="4680"/>
            <w:shd w:fill="FFFFFF" w:color="auto" w:val="clear"/>
            <w:tcMar>
              <w:top w:type="dxa" w:w="70"/>
              <w:left w:type="dxa" w:w="110"/>
              <w:bottom w:type="dxa" w:w="70"/>
              <w:right w:type="dxa" w:w="110"/>
            </w:tcMar>
          </w:tcPr>
          <w:p>
            <w:pPr>
              <w:spacing w:after="0" w:line="240"/>
              <w:jc w:val="left"/>
            </w:pPr>
            <m:oMath>
              <m:r>
                <m:rPr>
                  <m:nor/>
                </m:rPr>
                <m:t xml:space="preserve">log</m:t>
              </m:r>
              <m:d>
                <m:dPr/>
                <m:e>
                  <m:r>
                    <m:t>1 + </m:t>
                  </m:r>
                  <m:sSub>
                    <m:sSubPr/>
                    <m:e>
                      <m:r>
                        <m:t>C</m:t>
                      </m:r>
                    </m:e>
                    <m:sub>
                      <m:r>
                        <m:t>σ</m:t>
                      </m:r>
                    </m:sub>
                  </m:sSub>
                </m:e>
              </m:d>
            </m:oMath>
            <w:r>
              <w:rPr>
                <w:sz w:val="20"/>
                <w:szCs w:val="20"/>
              </w:rPr>
              <w:t xml:space="preserve"> : RMSE vs. spline</w:t>
            </w:r>
          </w:p>
        </w:tc>
        <w:tc>
          <w:tcPr>
            <w:tcW w:type="dxa" w:w="2340"/>
            <w:shd w:fill="FFFFFF" w:color="auto" w:val="clear"/>
            <w:tcMar>
              <w:top w:type="dxa" w:w="70"/>
              <w:left w:type="dxa" w:w="110"/>
              <w:bottom w:type="dxa" w:w="70"/>
              <w:right w:type="dxa" w:w="110"/>
            </w:tcMar>
          </w:tcPr>
          <w:p>
            <w:pPr>
              <w:spacing w:after="0" w:line="240"/>
              <w:jc w:val="center"/>
            </w:pPr>
            <w:r>
              <w:rPr>
                <w:b w:val="false"/>
                <w:bCs w:val="false"/>
                <w:sz w:val="20"/>
                <w:szCs w:val="20"/>
              </w:rPr>
              <w:t xml:space="preserve">0.0110</w:t>
            </w:r>
          </w:p>
        </w:tc>
        <w:tc>
          <w:tcPr>
            <w:tcW w:type="dxa" w:w="2340"/>
            <w:shd w:fill="FFFFFF" w:color="auto" w:val="clear"/>
            <w:tcMar>
              <w:top w:type="dxa" w:w="70"/>
              <w:left w:type="dxa" w:w="110"/>
              <w:bottom w:type="dxa" w:w="70"/>
              <w:right w:type="dxa" w:w="110"/>
            </w:tcMar>
          </w:tcPr>
          <w:p>
            <w:pPr>
              <w:spacing w:after="0" w:line="240"/>
              <w:jc w:val="center"/>
            </w:pPr>
            <w:r>
              <w:rPr>
                <w:b w:val="false"/>
                <w:bCs w:val="false"/>
                <w:sz w:val="20"/>
                <w:szCs w:val="20"/>
              </w:rPr>
              <w:t xml:space="preserve">0.0132</w:t>
            </w:r>
          </w:p>
        </w:tc>
      </w:tr>
      <w:tr>
        <w:trPr>
          <w:tblHeader w:val="false"/>
        </w:trPr>
        <w:tc>
          <w:tcPr>
            <w:tcW w:type="dxa" w:w="4680"/>
            <w:shd w:fill="FFFFFF" w:color="auto" w:val="clear"/>
            <w:tcMar>
              <w:top w:type="dxa" w:w="70"/>
              <w:left w:type="dxa" w:w="110"/>
              <w:bottom w:type="dxa" w:w="70"/>
              <w:right w:type="dxa" w:w="110"/>
            </w:tcMar>
          </w:tcPr>
          <w:p>
            <w:pPr>
              <w:spacing w:after="0" w:line="240"/>
              <w:jc w:val="left"/>
            </w:pPr>
            <m:oMath>
              <m:r>
                <m:rPr>
                  <m:nor/>
                </m:rPr>
                <m:t xml:space="preserve">log</m:t>
              </m:r>
              <m:d>
                <m:dPr/>
                <m:e>
                  <m:r>
                    <m:t>1 + </m:t>
                  </m:r>
                  <m:sSub>
                    <m:sSubPr/>
                    <m:e>
                      <m:r>
                        <m:t>C</m:t>
                      </m:r>
                    </m:e>
                    <m:sub>
                      <m:r>
                        <m:t>σ</m:t>
                      </m:r>
                    </m:sub>
                  </m:sSub>
                </m:e>
              </m:d>
            </m:oMath>
            <w:r>
              <w:rPr>
                <w:sz w:val="20"/>
                <w:szCs w:val="20"/>
              </w:rPr>
              <w:t xml:space="preserve"> : </w:t>
            </w:r>
            <m:oMath>
              <m:sSup>
                <m:sSupPr/>
                <m:e>
                  <m:r>
                    <m:t>R</m:t>
                  </m:r>
                </m:e>
                <m:sup>
                  <m:r>
                    <m:t>2</m:t>
                  </m:r>
                </m:sup>
              </m:sSup>
            </m:oMath>
            <w:r>
              <w:rPr>
                <w:sz w:val="20"/>
                <w:szCs w:val="20"/>
              </w:rPr>
              <w:t xml:space="preserve"> vs. spline</w:t>
            </w:r>
          </w:p>
        </w:tc>
        <w:tc>
          <w:tcPr>
            <w:tcW w:type="dxa" w:w="2340"/>
            <w:shd w:fill="FFFFFF" w:color="auto" w:val="clear"/>
            <w:tcMar>
              <w:top w:type="dxa" w:w="70"/>
              <w:left w:type="dxa" w:w="110"/>
              <w:bottom w:type="dxa" w:w="70"/>
              <w:right w:type="dxa" w:w="110"/>
            </w:tcMar>
          </w:tcPr>
          <w:p>
            <w:pPr>
              <w:spacing w:after="0" w:line="240"/>
              <w:jc w:val="center"/>
            </w:pPr>
            <w:r>
              <w:rPr>
                <w:b w:val="false"/>
                <w:bCs w:val="false"/>
                <w:sz w:val="20"/>
                <w:szCs w:val="20"/>
              </w:rPr>
              <w:t xml:space="preserve">0.99934</w:t>
            </w:r>
          </w:p>
        </w:tc>
        <w:tc>
          <w:tcPr>
            <w:tcW w:type="dxa" w:w="2340"/>
            <w:shd w:fill="FFFFFF" w:color="auto" w:val="clear"/>
            <w:tcMar>
              <w:top w:type="dxa" w:w="70"/>
              <w:left w:type="dxa" w:w="110"/>
              <w:bottom w:type="dxa" w:w="70"/>
              <w:right w:type="dxa" w:w="110"/>
            </w:tcMar>
          </w:tcPr>
          <w:p>
            <w:pPr>
              <w:spacing w:after="0" w:line="240"/>
              <w:jc w:val="center"/>
            </w:pPr>
            <w:r>
              <w:rPr>
                <w:b w:val="false"/>
                <w:bCs w:val="false"/>
                <w:sz w:val="20"/>
                <w:szCs w:val="20"/>
              </w:rPr>
              <w:t xml:space="preserve">0.99896</w:t>
            </w:r>
          </w:p>
        </w:tc>
      </w:tr>
      <w:tr>
        <w:trPr>
          <w:tblHeader w:val="false"/>
        </w:trPr>
        <w:tc>
          <w:tcPr>
            <w:tcW w:type="dxa" w:w="4680"/>
            <w:shd w:fill="F5F8FC" w:color="auto" w:val="clear"/>
            <w:tcMar>
              <w:top w:type="dxa" w:w="70"/>
              <w:left w:type="dxa" w:w="110"/>
              <w:bottom w:type="dxa" w:w="70"/>
              <w:right w:type="dxa" w:w="110"/>
            </w:tcMar>
          </w:tcPr>
          <w:p>
            <w:pPr>
              <w:spacing w:after="0" w:line="240"/>
              <w:jc w:val="left"/>
            </w:pPr>
            <m:oMath>
              <m:sSub>
                <m:sSubPr/>
                <m:e>
                  <m:r>
                    <m:t>D</m:t>
                  </m:r>
                </m:e>
                <m:sub>
                  <m:r>
                    <m:t>r</m:t>
                  </m:r>
                </m:sub>
              </m:sSub>
            </m:oMath>
            <w:r>
              <w:rPr>
                <w:sz w:val="20"/>
                <w:szCs w:val="20"/>
              </w:rPr>
              <w:t xml:space="preserve">, Poisson (0 fitted parameters): RMSE vs. spline</w:t>
            </w:r>
          </w:p>
        </w:tc>
        <w:tc>
          <w:tcPr>
            <w:tcW w:type="dxa" w:w="2340"/>
            <w:shd w:fill="F5F8FC" w:color="auto" w:val="clear"/>
            <w:tcMar>
              <w:top w:type="dxa" w:w="70"/>
              <w:left w:type="dxa" w:w="110"/>
              <w:bottom w:type="dxa" w:w="70"/>
              <w:right w:type="dxa" w:w="110"/>
            </w:tcMar>
          </w:tcPr>
          <w:p>
            <w:pPr>
              <w:spacing w:after="0" w:line="240"/>
              <w:jc w:val="center"/>
            </w:pPr>
            <w:r>
              <w:rPr>
                <w:b w:val="false"/>
                <w:bCs w:val="false"/>
                <w:sz w:val="20"/>
                <w:szCs w:val="20"/>
              </w:rPr>
              <w:t xml:space="preserve">0.0071</w:t>
            </w:r>
          </w:p>
        </w:tc>
        <w:tc>
          <w:tcPr>
            <w:tcW w:type="dxa" w:w="2340"/>
            <w:shd w:fill="F5F8FC" w:color="auto" w:val="clear"/>
            <w:tcMar>
              <w:top w:type="dxa" w:w="70"/>
              <w:left w:type="dxa" w:w="110"/>
              <w:bottom w:type="dxa" w:w="70"/>
              <w:right w:type="dxa" w:w="110"/>
            </w:tcMar>
          </w:tcPr>
          <w:p>
            <w:pPr>
              <w:spacing w:after="0" w:line="240"/>
              <w:jc w:val="center"/>
            </w:pPr>
            <w:r>
              <w:rPr>
                <w:b w:val="false"/>
                <w:bCs w:val="false"/>
                <w:sz w:val="20"/>
                <w:szCs w:val="20"/>
              </w:rPr>
              <w:t xml:space="preserve">0.0116</w:t>
            </w:r>
          </w:p>
        </w:tc>
      </w:tr>
      <w:tr>
        <w:trPr>
          <w:tblHeader w:val="false"/>
        </w:trPr>
        <w:tc>
          <w:tcPr>
            <w:tcW w:type="dxa" w:w="4680"/>
            <w:shd w:fill="F5F8FC" w:color="auto" w:val="clear"/>
            <w:tcMar>
              <w:top w:type="dxa" w:w="70"/>
              <w:left w:type="dxa" w:w="110"/>
              <w:bottom w:type="dxa" w:w="70"/>
              <w:right w:type="dxa" w:w="110"/>
            </w:tcMar>
          </w:tcPr>
          <w:p>
            <w:pPr>
              <w:spacing w:after="0" w:line="240"/>
              <w:jc w:val="left"/>
            </w:pPr>
            <m:oMath>
              <m:sSub>
                <m:sSubPr/>
                <m:e>
                  <m:r>
                    <m:t>D</m:t>
                  </m:r>
                </m:e>
                <m:sub>
                  <m:r>
                    <m:t>r</m:t>
                  </m:r>
                </m:sub>
              </m:sSub>
            </m:oMath>
            <w:r>
              <w:rPr>
                <w:sz w:val="20"/>
                <w:szCs w:val="20"/>
              </w:rPr>
              <w:t xml:space="preserve">, Poisson: </w:t>
            </w:r>
            <m:oMath>
              <m:sSup>
                <m:sSupPr/>
                <m:e>
                  <m:r>
                    <m:t>R</m:t>
                  </m:r>
                </m:e>
                <m:sup>
                  <m:r>
                    <m:t>2</m:t>
                  </m:r>
                </m:sup>
              </m:sSup>
            </m:oMath>
            <w:r>
              <w:rPr>
                <w:sz w:val="20"/>
                <w:szCs w:val="20"/>
              </w:rPr>
              <w:t xml:space="preserve"> vs. spline</w:t>
            </w:r>
          </w:p>
        </w:tc>
        <w:tc>
          <w:tcPr>
            <w:tcW w:type="dxa" w:w="2340"/>
            <w:shd w:fill="F5F8FC" w:color="auto" w:val="clear"/>
            <w:tcMar>
              <w:top w:type="dxa" w:w="70"/>
              <w:left w:type="dxa" w:w="110"/>
              <w:bottom w:type="dxa" w:w="70"/>
              <w:right w:type="dxa" w:w="110"/>
            </w:tcMar>
          </w:tcPr>
          <w:p>
            <w:pPr>
              <w:spacing w:after="0" w:line="240"/>
              <w:jc w:val="center"/>
            </w:pPr>
            <w:r>
              <w:rPr>
                <w:b w:val="false"/>
                <w:bCs w:val="false"/>
                <w:sz w:val="20"/>
                <w:szCs w:val="20"/>
              </w:rPr>
              <w:t xml:space="preserve">0.99868</w:t>
            </w:r>
          </w:p>
        </w:tc>
        <w:tc>
          <w:tcPr>
            <w:tcW w:type="dxa" w:w="2340"/>
            <w:shd w:fill="F5F8FC" w:color="auto" w:val="clear"/>
            <w:tcMar>
              <w:top w:type="dxa" w:w="70"/>
              <w:left w:type="dxa" w:w="110"/>
              <w:bottom w:type="dxa" w:w="70"/>
              <w:right w:type="dxa" w:w="110"/>
            </w:tcMar>
          </w:tcPr>
          <w:p>
            <w:pPr>
              <w:spacing w:after="0" w:line="240"/>
              <w:jc w:val="center"/>
            </w:pPr>
            <w:r>
              <w:rPr>
                <w:b w:val="false"/>
                <w:bCs w:val="false"/>
                <w:sz w:val="20"/>
                <w:szCs w:val="20"/>
              </w:rPr>
              <w:t xml:space="preserve">0.99688</w:t>
            </w:r>
          </w:p>
        </w:tc>
      </w:tr>
      <w:tr>
        <w:trPr>
          <w:tblHeader w:val="false"/>
        </w:trPr>
        <w:tc>
          <w:tcPr>
            <w:tcW w:type="dxa" w:w="4680"/>
            <w:shd w:fill="F5F8FC" w:color="auto" w:val="clear"/>
            <w:tcMar>
              <w:top w:type="dxa" w:w="70"/>
              <w:left w:type="dxa" w:w="110"/>
              <w:bottom w:type="dxa" w:w="70"/>
              <w:right w:type="dxa" w:w="110"/>
            </w:tcMar>
          </w:tcPr>
          <w:p>
            <w:pPr>
              <w:spacing w:after="0" w:line="240"/>
              <w:jc w:val="left"/>
            </w:pPr>
            <m:oMath>
              <m:sSub>
                <m:sSubPr/>
                <m:e>
                  <m:r>
                    <m:t>D</m:t>
                  </m:r>
                </m:e>
                <m:sub>
                  <m:r>
                    <m:t>r</m:t>
                  </m:r>
                </m:sub>
              </m:sSub>
            </m:oMath>
            <w:r>
              <w:rPr>
                <w:sz w:val="20"/>
                <w:szCs w:val="20"/>
              </w:rPr>
              <w:t xml:space="preserve">, Poisson: </w:t>
            </w:r>
            <m:oMath>
              <m:sSup>
                <m:sSupPr/>
                <m:e>
                  <m:r>
                    <m:t>R</m:t>
                  </m:r>
                </m:e>
                <m:sup>
                  <m:r>
                    <m:t>2</m:t>
                  </m:r>
                </m:sup>
              </m:sSup>
            </m:oMath>
            <w:r>
              <w:rPr>
                <w:sz w:val="20"/>
                <w:szCs w:val="20"/>
              </w:rPr>
              <w:t xml:space="preserve"> vs. the 9,654 genes</w:t>
            </w:r>
          </w:p>
        </w:tc>
        <w:tc>
          <w:tcPr>
            <w:tcW w:type="dxa" w:w="2340"/>
            <w:shd w:fill="F5F8FC" w:color="auto" w:val="clear"/>
            <w:tcMar>
              <w:top w:type="dxa" w:w="70"/>
              <w:left w:type="dxa" w:w="110"/>
              <w:bottom w:type="dxa" w:w="70"/>
              <w:right w:type="dxa" w:w="110"/>
            </w:tcMar>
          </w:tcPr>
          <w:p>
            <w:pPr>
              <w:spacing w:after="0" w:line="240"/>
              <w:jc w:val="center"/>
            </w:pPr>
            <w:r>
              <w:rPr>
                <w:b w:val="false"/>
                <w:bCs w:val="false"/>
                <w:sz w:val="20"/>
                <w:szCs w:val="20"/>
              </w:rPr>
              <w:t xml:space="preserve">0.9944</w:t>
            </w:r>
          </w:p>
        </w:tc>
        <w:tc>
          <w:tcPr>
            <w:tcW w:type="dxa" w:w="2340"/>
            <w:shd w:fill="F5F8FC" w:color="auto" w:val="clear"/>
            <w:tcMar>
              <w:top w:type="dxa" w:w="70"/>
              <w:left w:type="dxa" w:w="110"/>
              <w:bottom w:type="dxa" w:w="70"/>
              <w:right w:type="dxa" w:w="110"/>
            </w:tcMar>
          </w:tcPr>
          <w:p>
            <w:pPr>
              <w:spacing w:after="0" w:line="240"/>
              <w:jc w:val="center"/>
            </w:pPr>
            <w:r>
              <w:rPr>
                <w:b w:val="false"/>
                <w:bCs w:val="false"/>
                <w:sz w:val="20"/>
                <w:szCs w:val="20"/>
              </w:rPr>
              <w:t xml:space="preserve">0.9915</w:t>
            </w:r>
          </w:p>
        </w:tc>
      </w:tr>
      <w:tr>
        <w:trPr>
          <w:tblHeader w:val="false"/>
        </w:trPr>
        <w:tc>
          <w:tcPr>
            <w:tcW w:type="dxa" w:w="4680"/>
            <w:shd w:fill="FFFFFF" w:color="auto" w:val="clear"/>
            <w:tcMar>
              <w:top w:type="dxa" w:w="70"/>
              <w:left w:type="dxa" w:w="110"/>
              <w:bottom w:type="dxa" w:w="70"/>
              <w:right w:type="dxa" w:w="110"/>
            </w:tcMar>
          </w:tcPr>
          <w:p>
            <w:pPr>
              <w:spacing w:after="0" w:line="240"/>
              <w:jc w:val="left"/>
            </w:pPr>
            <w:r>
              <w:rPr>
                <w:sz w:val="20"/>
                <w:szCs w:val="20"/>
              </w:rPr>
              <w:t xml:space="preserve">Minimum of the spline's dropout coordinate (must be non-negative)</w:t>
            </w:r>
          </w:p>
        </w:tc>
        <w:tc>
          <w:tcPr>
            <w:tcW w:type="dxa" w:w="2340"/>
            <w:shd w:fill="FFFFFF" w:color="auto" w:val="clear"/>
            <w:tcMar>
              <w:top w:type="dxa" w:w="70"/>
              <w:left w:type="dxa" w:w="110"/>
              <w:bottom w:type="dxa" w:w="70"/>
              <w:right w:type="dxa" w:w="110"/>
            </w:tcMar>
          </w:tcPr>
          <w:p>
            <w:pPr>
              <w:spacing w:after="0" w:line="240"/>
              <w:jc w:val="center"/>
            </w:pPr>
            <w:r>
              <w:rPr>
                <w:b w:val="false"/>
                <w:bCs w:val="false"/>
                <w:sz w:val="20"/>
                <w:szCs w:val="20"/>
              </w:rPr>
              <w:t xml:space="preserve">−0.086</w:t>
            </w:r>
          </w:p>
        </w:tc>
        <w:tc>
          <w:tcPr>
            <w:tcW w:type="dxa" w:w="2340"/>
            <w:shd w:fill="FFFFFF" w:color="auto" w:val="clear"/>
            <w:tcMar>
              <w:top w:type="dxa" w:w="70"/>
              <w:left w:type="dxa" w:w="110"/>
              <w:bottom w:type="dxa" w:w="70"/>
              <w:right w:type="dxa" w:w="110"/>
            </w:tcMar>
          </w:tcPr>
          <w:p>
            <w:pPr>
              <w:spacing w:after="0" w:line="240"/>
              <w:jc w:val="center"/>
            </w:pPr>
            <w:r>
              <w:rPr>
                <w:b w:val="false"/>
                <w:bCs w:val="false"/>
                <w:sz w:val="20"/>
                <w:szCs w:val="20"/>
              </w:rPr>
              <w:t xml:space="preserve">−0.165</w:t>
            </w:r>
          </w:p>
        </w:tc>
      </w:tr>
      <w:tr>
        <w:trPr>
          <w:tblHeader w:val="false"/>
        </w:trPr>
        <w:tc>
          <w:tcPr>
            <w:tcW w:type="dxa" w:w="4680"/>
            <w:shd w:fill="FFFFFF" w:color="auto" w:val="clear"/>
            <w:tcMar>
              <w:top w:type="dxa" w:w="70"/>
              <w:left w:type="dxa" w:w="110"/>
              <w:bottom w:type="dxa" w:w="70"/>
              <w:right w:type="dxa" w:w="110"/>
            </w:tcMar>
          </w:tcPr>
          <w:p>
            <w:pPr>
              <w:spacing w:after="0" w:line="240"/>
              <w:jc w:val="left"/>
            </w:pPr>
            <w:r>
              <w:rPr>
                <w:sz w:val="20"/>
                <w:szCs w:val="20"/>
              </w:rPr>
              <w:t xml:space="preserve">Runtime of </w:t>
            </w:r>
            <w:r>
              <w:rPr>
                <w:rFonts w:ascii="Consolas" w:cs="Consolas" w:eastAsia="Consolas" w:hAnsi="Consolas"/>
                <w:sz w:val="20"/>
                <w:szCs w:val="20"/>
              </w:rPr>
              <w:t xml:space="preserve">sc_analyticfit</w:t>
            </w:r>
          </w:p>
        </w:tc>
        <w:tc>
          <w:tcPr>
            <w:tcW w:type="dxa" w:w="2340"/>
            <w:shd w:fill="FFFFFF" w:color="auto" w:val="clear"/>
            <w:tcMar>
              <w:top w:type="dxa" w:w="70"/>
              <w:left w:type="dxa" w:w="110"/>
              <w:bottom w:type="dxa" w:w="70"/>
              <w:right w:type="dxa" w:w="110"/>
            </w:tcMar>
          </w:tcPr>
          <w:p>
            <w:pPr>
              <w:spacing w:after="0" w:line="240"/>
              <w:jc w:val="center"/>
            </w:pPr>
            <w:r>
              <w:rPr>
                <w:b w:val="false"/>
                <w:bCs w:val="false"/>
                <w:sz w:val="20"/>
                <w:szCs w:val="20"/>
              </w:rPr>
              <w:t xml:space="preserve">3.15 s</w:t>
            </w:r>
          </w:p>
        </w:tc>
        <w:tc>
          <w:tcPr>
            <w:tcW w:type="dxa" w:w="2340"/>
            <w:shd w:fill="FFFFFF" w:color="auto" w:val="clear"/>
            <w:tcMar>
              <w:top w:type="dxa" w:w="70"/>
              <w:left w:type="dxa" w:w="110"/>
              <w:bottom w:type="dxa" w:w="70"/>
              <w:right w:type="dxa" w:w="110"/>
            </w:tcMar>
          </w:tcPr>
          <w:p>
            <w:pPr>
              <w:spacing w:after="0" w:line="240"/>
              <w:jc w:val="center"/>
            </w:pPr>
            <w:r>
              <w:rPr>
                <w:b w:val="false"/>
                <w:bCs w:val="false"/>
                <w:sz w:val="20"/>
                <w:szCs w:val="20"/>
              </w:rPr>
              <w:t xml:space="preserve">2.26 s</w:t>
            </w:r>
          </w:p>
        </w:tc>
      </w:tr>
    </w:tbl>
    <w:p>
      <w:pPr>
        <w:spacing w:after="240"/>
      </w:pPr>
    </w:p>
    <w:p>
      <w:pPr>
        <w:spacing w:after="140" w:line="288"/>
      </w:pPr>
      <w:r>
        <w:t xml:space="preserve">Substituting the analytic curve for the spline throughout the DV pipeline of </w:t>
      </w:r>
      <w:r>
        <w:rPr>
          <w:rFonts w:ascii="Consolas" w:cs="Consolas" w:eastAsia="Consolas" w:hAnsi="Consolas"/>
          <w:sz w:val="20"/>
          <w:szCs w:val="20"/>
        </w:rPr>
        <w:t xml:space="preserve">test.m</w:t>
      </w:r>
      <w:r>
        <w:t xml:space="preserve"> reproduces the spline-based gene ranking at Spearman </w:t>
      </w:r>
      <m:oMath>
        <m:r>
          <m:t>ρ</m:t>
        </m:r>
      </m:oMath>
      <w:r>
        <w:t xml:space="preserve"> = 0.93, with 73 of the top 100 and 388 of the top 500 genes shared. The residual disagreement is concentrated in the tails, which is where the spline is extrapolating or leaving the feasible region.</w:t>
      </w:r>
    </w:p>
    <w:p>
      <w:pPr>
        <w:spacing w:after="80" w:before="20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09850"/>
                    </a:xfrm>
                    <a:prstGeom prst="rect">
                      <a:avLst/>
                    </a:prstGeom>
                  </pic:spPr>
                </pic:pic>
              </a:graphicData>
            </a:graphic>
          </wp:inline>
        </w:drawing>
      </w:r>
    </w:p>
    <w:p>
      <w:pPr>
        <w:spacing w:after="260"/>
        <w:jc w:val="center"/>
      </w:pPr>
      <w:r>
        <w:rPr>
          <w:i/>
          <w:iCs/>
          <w:color w:val="555555"/>
          <w:sz w:val="18"/>
          <w:szCs w:val="18"/>
        </w:rPr>
        <w:t xml:space="preserve">Figure 1. The gene cloud in the three-dimensional space the method actually works in (grey), with the fitted spline (solid) and the analytic curve of equations (8)–(10) (dashed). The shaded surface is the plane z = 0. The two curves are indistinguishable over the body of the data; the spline then terminates where the genes thin out, having already left the feasible region, while the analytic curve stays on the plane and continues across the full range of gene means.</w:t>
      </w:r>
    </w:p>
    <w:p>
      <w:pPr>
        <w:spacing w:after="80" w:before="20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90800"/>
                    </a:xfrm>
                    <a:prstGeom prst="rect">
                      <a:avLst/>
                    </a:prstGeom>
                  </pic:spPr>
                </pic:pic>
              </a:graphicData>
            </a:graphic>
          </wp:inline>
        </w:drawing>
      </w:r>
    </w:p>
    <w:p>
      <w:pPr>
        <w:spacing w:after="240"/>
        <w:jc w:val="center"/>
      </w:pPr>
      <w:r>
        <w:rPr>
          <w:i/>
          <w:iCs/>
          <w:color w:val="555555"/>
          <w:sz w:val="18"/>
          <w:szCs w:val="18"/>
        </w:rPr>
        <w:t xml:space="preserve">Figure 2. The same comparison coordinate by coordinate, which makes the size of the discrepancy readable. The bottom row is the zero-parameter Poisson dropout law of equation (7); note the spline descending below zero on the right.</w:t>
      </w:r>
    </w:p>
    <w:p>
      <w:pPr>
        <w:pStyle w:val="Heading1"/>
        <w:spacing w:after="160" w:before="320"/>
      </w:pPr>
      <w:r>
        <w:t xml:space="preserve">11. Why the analytic curve is preferable where the two disagree</w:t>
      </w:r>
    </w:p>
    <w:p>
      <w:pPr>
        <w:pStyle w:val="ListParagraph"/>
        <w:numPr>
          <w:ilvl w:val="0"/>
          <w:numId w:val="1"/>
        </w:numPr>
        <w:spacing w:after="120" w:line="288"/>
      </w:pPr>
      <w:r>
        <w:rPr>
          <w:b/>
          <w:bCs/>
        </w:rPr>
        <w:t xml:space="preserve">The spline leaves the feasible region. </w:t>
      </w:r>
      <w:r>
        <w:t xml:space="preserve">Its dropout coordinate reaches −0.086 in sample 1 and −0.165 in sample 2 — a negative rate. The largest analytic-versus-spline discrepancies occur exactly there. The analytic curve is a mixture of survival functions, so </w:t>
      </w:r>
      <m:oMath>
        <m:r>
          <m:t>0 &lt; z ≤ 1</m:t>
        </m:r>
      </m:oMath>
      <w:r>
        <w:t xml:space="preserve"> by construction, and </w:t>
      </w:r>
      <m:oMath>
        <m:r>
          <m:t>y</m:t>
        </m:r>
      </m:oMath>
      <w:r>
        <w:t xml:space="preserve"> is monotonically decreasing as it must be.</w:t>
      </w:r>
    </w:p>
    <w:p>
      <w:pPr>
        <w:pStyle w:val="ListParagraph"/>
        <w:numPr>
          <w:ilvl w:val="0"/>
          <w:numId w:val="1"/>
        </w:numPr>
        <w:spacing w:after="120" w:line="288"/>
      </w:pPr>
      <w:r>
        <w:rPr>
          <w:b/>
          <w:bCs/>
        </w:rPr>
        <w:t xml:space="preserve">The curve is defined for all μ &gt; 0. </w:t>
      </w:r>
      <w:r>
        <w:t xml:space="preserve">The spline spans only the arclength of the observed genes, which is why </w:t>
      </w:r>
      <w:r>
        <w:rPr>
          <w:rFonts w:ascii="Consolas" w:cs="Consolas" w:eastAsia="Consolas" w:hAnsi="Consolas"/>
          <w:sz w:val="20"/>
          <w:szCs w:val="20"/>
        </w:rPr>
        <w:t xml:space="preserve">sc_splinefit</w:t>
      </w:r>
      <w:r>
        <w:t xml:space="preserve"> rescales distances by 1/100 and 1/10 beyond either end, and why </w:t>
      </w:r>
      <w:r>
        <w:rPr>
          <w:rFonts w:ascii="Consolas" w:cs="Consolas" w:eastAsia="Consolas" w:hAnsi="Consolas"/>
          <w:sz w:val="20"/>
          <w:szCs w:val="20"/>
        </w:rPr>
        <w:t xml:space="preserve">test.m</w:t>
      </w:r>
      <w:r>
        <w:t xml:space="preserve"> zeroes out genes whose nearest index is the first or last knot. Those patches become unnecessary. On these data the spline stops near </w:t>
      </w:r>
      <m:oMath>
        <m:r>
          <m:rPr>
            <m:nor/>
          </m:rPr>
          <m:t xml:space="preserve">log</m:t>
        </m:r>
        <m:d>
          <m:dPr/>
          <m:e>
            <m:r>
              <m:t>1 + μ</m:t>
            </m:r>
          </m:e>
        </m:d>
        <m:r>
          <m:t> = 3.3</m:t>
        </m:r>
      </m:oMath>
      <w:r>
        <w:t xml:space="preserve"> while genes extend to 7.7.</w:t>
      </w:r>
    </w:p>
    <w:p>
      <w:pPr>
        <w:pStyle w:val="ListParagraph"/>
        <w:numPr>
          <w:ilvl w:val="0"/>
          <w:numId w:val="1"/>
        </w:numPr>
        <w:spacing w:after="120" w:line="288"/>
      </w:pPr>
      <w:r>
        <w:rPr>
          <w:b/>
          <w:bCs/>
        </w:rPr>
        <w:t xml:space="preserve">No hyperparameters. </w:t>
      </w:r>
      <w:r>
        <w:t xml:space="preserve">The 15 pieces, the 0.75 robustness weight, the arclength parameterization and the suppressed rank-deficiency warning all disappear.</w:t>
      </w:r>
    </w:p>
    <w:p>
      <w:pPr>
        <w:pStyle w:val="ListParagraph"/>
        <w:numPr>
          <w:ilvl w:val="0"/>
          <w:numId w:val="1"/>
        </w:numPr>
        <w:spacing w:after="120" w:line="288"/>
      </w:pPr>
      <w:r>
        <w:rPr>
          <w:b/>
          <w:bCs/>
        </w:rPr>
        <w:t xml:space="preserve">The reference is comparable across conditions. </w:t>
      </w:r>
      <w:r>
        <w:t xml:space="preserve">At present the two deviation vectors are measured against two independently estimated splines, so the DV score mixes per-gene deviation with sampling noise in the two reference curves. Analytically the references differ only through </w:t>
      </w:r>
      <m:oMath>
        <m:r>
          <m:t>α</m:t>
        </m:r>
      </m:oMath>
      <w:r>
        <w:t xml:space="preserve">, </w:t>
      </w:r>
      <m:oMath>
        <m:r>
          <m:t>φ</m:t>
        </m:r>
      </m:oMath>
      <w:r>
        <w:t xml:space="preserve"> and the library sizes, all of which are interpretable and separately estimable.</w:t>
      </w:r>
    </w:p>
    <w:p>
      <w:pPr>
        <w:pStyle w:val="ListParagraph"/>
        <w:numPr>
          <w:ilvl w:val="0"/>
          <w:numId w:val="1"/>
        </w:numPr>
        <w:spacing w:after="120" w:line="288"/>
      </w:pPr>
      <w:r>
        <w:rPr>
          <w:b/>
          <w:bCs/>
        </w:rPr>
        <w:t xml:space="preserve">The residual becomes interpretable. </w:t>
      </w:r>
      <w:r>
        <w:t xml:space="preserve">The parameter value at the foot point estimates the gene's expression rate, and the CV residual is excess variability relative to a gamma-Poisson expectation rather than relative to an empirical trend.</w:t>
      </w:r>
    </w:p>
    <w:p>
      <w:pPr>
        <w:pStyle w:val="Heading1"/>
        <w:spacing w:after="160" w:before="320"/>
      </w:pPr>
      <w:r>
        <w:t xml:space="preserve">12. Implementation</w:t>
      </w:r>
    </w:p>
    <w:p>
      <w:pPr>
        <w:spacing w:after="140" w:line="288"/>
      </w:pPr>
      <w:r>
        <w:rPr>
          <w:rFonts w:ascii="Consolas" w:cs="Consolas" w:eastAsia="Consolas" w:hAnsi="Consolas"/>
          <w:sz w:val="20"/>
          <w:szCs w:val="20"/>
        </w:rPr>
        <w:t xml:space="preserve">MATLAB/sc_analyticfit.m</w:t>
      </w:r>
      <w:r>
        <w:t xml:space="preserve"> is a drop-in replacement for </w:t>
      </w:r>
      <w:r>
        <w:rPr>
          <w:rFonts w:ascii="Consolas" w:cs="Consolas" w:eastAsia="Consolas" w:hAnsi="Consolas"/>
          <w:sz w:val="20"/>
          <w:szCs w:val="20"/>
        </w:rPr>
        <w:t xml:space="preserve">sc_splinefit</w:t>
      </w:r>
      <w:r>
        <w:t xml:space="preserve">, returning the same table columns and preserving the </w:t>
      </w:r>
      <w:r>
        <w:rPr>
          <w:rFonts w:ascii="Consolas" w:cs="Consolas" w:eastAsia="Consolas" w:hAnsi="Consolas"/>
          <w:sz w:val="20"/>
          <w:szCs w:val="20"/>
        </w:rPr>
        <w:t xml:space="preserve">xyzFit(T.nearidx,:)</w:t>
      </w:r>
      <w:r>
        <w:t xml:space="preserve"> call pattern:</w:t>
      </w:r>
    </w:p>
    <w:p>
      <w:pPr>
        <w:shd w:fill="F2F2F2" w:color="auto" w:val="clear"/>
        <w:spacing w:after="80"/>
      </w:pPr>
      <w:r>
        <w:rPr>
          <w:rFonts w:ascii="Consolas" w:cs="Consolas" w:eastAsia="Consolas" w:hAnsi="Consolas"/>
          <w:sz w:val="20"/>
          <w:szCs w:val="20"/>
        </w:rPr>
        <w:t xml:space="preserve">[T, xyzFit, curve, params] = sc_analyticfit(Xraw, genelist);</w:t>
      </w:r>
    </w:p>
    <w:p>
      <w:pPr>
        <w:shd w:fill="F2F2F2" w:color="auto" w:val="clear"/>
        <w:spacing w:after="80"/>
      </w:pPr>
      <w:r>
        <w:rPr>
          <w:rFonts w:ascii="Consolas" w:cs="Consolas" w:eastAsia="Consolas" w:hAnsi="Consolas"/>
          <w:sz w:val="20"/>
          <w:szCs w:val="20"/>
        </w:rPr>
        <w:t xml:space="preserve">v = [T.lgu T.lgcv T.dropr] - xyzFit(T.nearidx, :);</w:t>
      </w:r>
    </w:p>
    <w:p>
      <w:pPr>
        <w:spacing w:after="140" w:line="288"/>
      </w:pPr>
      <w:r>
        <w:t xml:space="preserve">Pass </w:t>
      </w:r>
      <w:r>
        <w:rPr>
          <w:rFonts w:ascii="Consolas" w:cs="Consolas" w:eastAsia="Consolas" w:hAnsi="Consolas"/>
          <w:sz w:val="20"/>
          <w:szCs w:val="20"/>
        </w:rPr>
        <w:t xml:space="preserve">IsNormalized=true</w:t>
      </w:r>
      <w:r>
        <w:t xml:space="preserve"> together with </w:t>
      </w:r>
      <w:r>
        <w:rPr>
          <w:rFonts w:ascii="Consolas" w:cs="Consolas" w:eastAsia="Consolas" w:hAnsi="Consolas"/>
          <w:sz w:val="20"/>
          <w:szCs w:val="20"/>
        </w:rPr>
        <w:t xml:space="preserve">LibSize=</w:t>
      </w:r>
      <w:r>
        <w:t xml:space="preserve"> if the matrix has already been through </w:t>
      </w:r>
      <w:r>
        <w:rPr>
          <w:rFonts w:ascii="Consolas" w:cs="Consolas" w:eastAsia="Consolas" w:hAnsi="Consolas"/>
          <w:sz w:val="20"/>
          <w:szCs w:val="20"/>
        </w:rPr>
        <w:t xml:space="preserve">sc_norm</w:t>
      </w:r>
      <w:r>
        <w:t xml:space="preserve">. </w:t>
      </w:r>
      <w:r>
        <w:rPr>
          <w:rFonts w:ascii="Consolas" w:cs="Consolas" w:eastAsia="Consolas" w:hAnsi="Consolas"/>
          <w:sz w:val="20"/>
          <w:szCs w:val="20"/>
        </w:rPr>
        <w:t xml:space="preserve">Dispersion=0</w:t>
      </w:r>
      <w:r>
        <w:t xml:space="preserve"> gives the pure-Poisson technical null; the default fits </w:t>
      </w:r>
      <m:oMath>
        <m:r>
          <m:t>φ</m:t>
        </m:r>
      </m:oMath>
      <w:r>
        <w:t xml:space="preserve"> robustly by equation (16).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9"/>
      <w:szCs w:val="29"/>
    </w:rPr>
  </w:style>
  <w:style w:type="paragraph" w:styleId="Heading2">
    <w:name w:val="Heading 2"/>
    <w:basedOn w:val="Normal"/>
    <w:next w:val="Normal"/>
    <w:qFormat/>
    <w:rPr>
      <w:rFonts w:ascii="Calibri" w:cs="Calibri" w:eastAsia="Calibri" w:hAnsi="Calibri"/>
      <w:b/>
      <w:bCs/>
      <w:color w:val="2E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455b2ab37565c523e1d8b9b1800b4176708288.png"/><Relationship Id="rId8" Type="http://schemas.openxmlformats.org/officeDocument/2006/relationships/image" Target="media/09768520cd6fd691d69faaac670b17c7de1e0e3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2026-09-07T22:59:08.556Z</dcterms:created>
  <dcterms:modified xsi:type="dcterms:W3CDTF">2026-09-07T22:59:08.558Z</dcterms:modified>
</cp:coreProperties>
</file>

<file path=docProps/custom.xml><?xml version="1.0" encoding="utf-8"?>
<Properties xmlns="http://schemas.openxmlformats.org/officeDocument/2006/custom-properties" xmlns:vt="http://schemas.openxmlformats.org/officeDocument/2006/docPropsVTypes"/>
</file>