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eastAsia="Microsoft YaHei"/>
          <w:b/>
          <w:i w:val="0"/>
          <w:color w:val="1F3A5F"/>
          <w:sz w:val="32"/>
        </w:rPr>
        <w:t>Research Proposal: Serverless Risk-Aware Model Routing for Adaptive Wildfire-Detection Inference</w:t>
      </w:r>
    </w:p>
    <w:p>
      <w:pPr>
        <w:spacing w:before="0" w:after="200" w:line="276" w:lineRule="auto"/>
        <w:jc w:val="center"/>
      </w:pPr>
      <w:r>
        <w:rPr>
          <w:rFonts w:ascii="Calibri" w:hAnsi="Calibri" w:eastAsia="Microsoft YaHei"/>
          <w:b/>
          <w:i w:val="0"/>
          <w:color w:val="1F3A5F"/>
          <w:sz w:val="26"/>
        </w:rPr>
        <w:t>研究计划书：面向自适应野火检测推理的无服务器风险感知模型路由</w:t>
      </w:r>
    </w:p>
    <w:p>
      <w:pPr>
        <w:spacing w:before="0" w:after="20" w:line="312" w:lineRule="auto"/>
        <w:jc w:val="center"/>
      </w:pPr>
      <w:r>
        <w:rPr>
          <w:rFonts w:ascii="Calibri" w:hAnsi="Calibri" w:eastAsia="Microsoft YaHei"/>
          <w:b/>
          <w:i w:val="0"/>
          <w:sz w:val="22"/>
        </w:rPr>
        <w:t>Luying Cai</w:t>
      </w:r>
    </w:p>
    <w:p>
      <w:pPr>
        <w:spacing w:before="0" w:after="20" w:line="312" w:lineRule="auto"/>
        <w:jc w:val="center"/>
      </w:pPr>
      <w:r>
        <w:rPr>
          <w:rFonts w:ascii="Calibri" w:hAnsi="Calibri" w:eastAsia="Microsoft YaHei"/>
          <w:b w:val="0"/>
          <w:i w:val="0"/>
          <w:sz w:val="20"/>
        </w:rPr>
        <w:t>Supervisor: Dr. Michal Aibin</w:t>
      </w:r>
    </w:p>
    <w:p>
      <w:pPr>
        <w:spacing w:before="0" w:after="40" w:line="312" w:lineRule="auto"/>
        <w:jc w:val="center"/>
      </w:pPr>
      <w:r>
        <w:rPr>
          <w:rFonts w:ascii="Calibri" w:hAnsi="Calibri" w:eastAsia="Microsoft YaHei"/>
          <w:b w:val="0"/>
          <w:i w:val="0"/>
          <w:sz w:val="20"/>
        </w:rPr>
        <w:t>MSc Applied Computing, British Columbia Institute of Technology (BCIT), Burnaby, British Columbia, Canada</w:t>
      </w:r>
    </w:p>
    <w:p>
      <w:pPr>
        <w:spacing w:before="0" w:after="160" w:line="312" w:lineRule="auto"/>
        <w:jc w:val="center"/>
      </w:pPr>
      <w:r>
        <w:rPr>
          <w:rFonts w:ascii="Calibri" w:hAnsi="Calibri" w:eastAsia="Microsoft YaHei"/>
          <w:b w:val="0"/>
          <w:i/>
          <w:sz w:val="20"/>
        </w:rPr>
        <w:t>September – December 2026</w:t>
      </w:r>
    </w:p>
    <w:p>
      <w:pPr>
        <w:spacing w:before="240" w:after="80" w:line="276" w:lineRule="auto"/>
      </w:pPr>
      <w:r>
        <w:rPr>
          <w:rFonts w:ascii="Calibri" w:hAnsi="Calibri" w:eastAsia="Microsoft YaHei"/>
          <w:b/>
          <w:i w:val="0"/>
          <w:color w:val="1F3A5F"/>
          <w:sz w:val="26"/>
        </w:rPr>
        <w:t>Abstract / 摘要</w:t>
      </w:r>
    </w:p>
    <w:p>
      <w:pPr>
        <w:spacing w:before="0" w:after="120" w:line="312" w:lineRule="auto"/>
        <w:jc w:val="both"/>
      </w:pPr>
      <w:r>
        <w:rPr>
          <w:rFonts w:ascii="Calibri" w:hAnsi="Calibri" w:eastAsia="Microsoft YaHei"/>
          <w:b w:val="0"/>
          <w:i w:val="0"/>
          <w:sz w:val="22"/>
        </w:rPr>
        <w:t>Serverless platforms make machine-learning inference cheap to operate, but they impose a rigid one-model-fits-all deployment pattern that ignores how much capacity each request actually needs. For safety-critical wildfire detection, routing every frame to the largest model wastes cost and carbon, whereas routing everything to the smallest model risks missing fires. This proposal develops a strategy to make serverless inference risk-aware: requests are dispatched to differently sized YOLO detectors either by the a priori risk of their originating geographic zone (context-based routing) or by the a posteriori confidence of a lightweight model (confidence-cascaded routing). By benchmarking these adaptive strategies against static single-model baselines across two CPU architectures (x86_64 and arm64/Graviton), we aim to quantify the cost, carbon, and latency savings achievable without compromising detection safety, and to derive — directly from empirical trade-off data — the tier mappings and confidence thresholds that govern such systems.</w:t>
      </w:r>
    </w:p>
    <w:p>
      <w:pPr>
        <w:spacing w:before="0" w:after="120" w:line="312" w:lineRule="auto"/>
        <w:jc w:val="both"/>
      </w:pPr>
      <w:r>
        <w:rPr>
          <w:rFonts w:ascii="Calibri" w:hAnsi="Calibri" w:eastAsia="Microsoft YaHei"/>
          <w:b w:val="0"/>
          <w:i w:val="0"/>
          <w:sz w:val="22"/>
        </w:rPr>
        <w:t>无服务器（Serverless）平台使机器学习推理的运维成本大幅降低，但其“一刀切”的单一模型部署模式忽视了不同请求对算力的真实需求差异。在安全攸关的野火检测场景中，将每一帧都交给最大的模型会浪费成本与碳排放，而全部交给最小的模型又有漏检火情的风险。本计划提出一种“风险感知”的无服务器推理策略：根据请求来源地理区域的先验风险（基于上下文的路由），或根据轻量模型推理结果的后验置信度（置信度级联路由），将请求动态分配给不同规模的 YOLO 检测器。通过在两种 CPU 架构（x86_64 与 arm64/Graviton）上将上述自适应策略与静态单模型基线进行基准测试，本研究旨在量化在不牺牲检测安全性的前提下可实现的成本、碳排放与延迟节省，并直接从实证的权衡数据中推导出支配此类系统的层级映射（tier mapping）与置信度阈值。</w:t>
      </w:r>
    </w:p>
    <w:p>
      <w:pPr>
        <w:spacing w:before="240" w:after="80" w:line="276" w:lineRule="auto"/>
      </w:pPr>
      <w:r>
        <w:rPr>
          <w:rFonts w:ascii="Calibri" w:hAnsi="Calibri" w:eastAsia="Microsoft YaHei"/>
          <w:b/>
          <w:i w:val="0"/>
          <w:color w:val="1F3A5F"/>
          <w:sz w:val="26"/>
        </w:rPr>
        <w:t>Introduction / 引言</w:t>
      </w:r>
    </w:p>
    <w:p>
      <w:pPr>
        <w:spacing w:before="0" w:after="120" w:line="312" w:lineRule="auto"/>
        <w:jc w:val="both"/>
      </w:pPr>
      <w:r>
        <w:rPr>
          <w:rFonts w:ascii="Calibri" w:hAnsi="Calibri" w:eastAsia="Microsoft YaHei"/>
          <w:b w:val="0"/>
          <w:i w:val="0"/>
          <w:sz w:val="22"/>
        </w:rPr>
        <w:t>Wildfire detection increasingly relies on continuous computer-vision inference over imagery from ground cameras and unmanned aerial vehicles (UAVs), where every additional minute of detection latency can translate into hectares of additional burn (Shamsoshoara et al., 2021; Aibin et al., 2026). Serverless computing — exemplified by AWS Lambda — is an attractive substrate for such pipelines because it scales to zero, bills per invocation, and removes server management. Yet the dominant deployment pattern provisions a single model for all traffic, forcing an irreversible choice between an accuracy-first heavy model and a cost-first light model. This static design is blind to a key property of real monitoring traffic: the marginal value of a large model is highly uneven across requests, because most frames contain no fire and originate from low-risk contexts.</w:t>
      </w:r>
    </w:p>
    <w:p>
      <w:pPr>
        <w:spacing w:before="0" w:after="120" w:line="312" w:lineRule="auto"/>
        <w:jc w:val="both"/>
      </w:pPr>
      <w:r>
        <w:rPr>
          <w:rFonts w:ascii="Calibri" w:hAnsi="Calibri" w:eastAsia="Microsoft YaHei"/>
          <w:b w:val="0"/>
          <w:i w:val="0"/>
          <w:sz w:val="22"/>
        </w:rPr>
        <w:t>Adaptive inference offers a way out, and two complementary signals can drive the routing decision. The first is a priori context: the Fire Weather Index (FWI) of the originating zone indicates, before any inference runs, how much detection capacity a request likely warrants. The second is a posteriori content: running a lightweight model first and reading its detection confidence reveals, after a cheap first pass, whether a heavier model is needed at all. The machine-learning community has formalized these ideas as model routing and confidence-based cascading, and recent work establishes both their cost benefits and the conditions under which they fail (Chen et al., 2023; Jitkrittum et al., 2023; Dekoninck et al., 2025). However, these results were developed for large language models on conventional servers; their interaction with the serverless cost model, cold-start dynamics, CPU architecture, and the carbon footprint of inference — and their viability for safety-critical vision — remains largely unexamined.</w:t>
      </w:r>
    </w:p>
    <w:p>
      <w:pPr>
        <w:spacing w:before="0" w:after="120" w:line="312" w:lineRule="auto"/>
        <w:jc w:val="both"/>
      </w:pPr>
      <w:r>
        <w:rPr>
          <w:rFonts w:ascii="Calibri" w:hAnsi="Calibri" w:eastAsia="Microsoft YaHei"/>
          <w:b w:val="0"/>
          <w:i w:val="0"/>
          <w:sz w:val="22"/>
        </w:rPr>
        <w:t>野火检测越来越依赖于对地面摄像头与无人机（UAV）图像的连续计算机视觉推理，而检测延迟每多出一分钟，都可能意味着多燃烧数公顷林地（Shamsoshoara 等，2021；Aibin 等，2026）。以 AWS Lambda 为代表的无服务器计算因其可弹性缩放至零、按调用计费、免服务器运维的特性，是构建此类流水线的理想底座。然而，主流部署模式为所有流量配置单一模型，迫使人们在“精度优先的重模型”与“成本优先的轻模型”之间做出不可逆的选择。这种静态设计忽视了真实监控流量的一个关键特征：大模型的边际价值在不同请求间极不均匀，因为绝大多数帧并无火情且来自低风险场景。</w:t>
      </w:r>
    </w:p>
    <w:p>
      <w:pPr>
        <w:spacing w:before="0" w:after="120" w:line="312" w:lineRule="auto"/>
        <w:jc w:val="both"/>
      </w:pPr>
      <w:r>
        <w:rPr>
          <w:rFonts w:ascii="Calibri" w:hAnsi="Calibri" w:eastAsia="Microsoft YaHei"/>
          <w:b w:val="0"/>
          <w:i w:val="0"/>
          <w:sz w:val="22"/>
        </w:rPr>
        <w:t>自适应推理（adaptive inference）提供了出路，且有两种互补的信号可以驱动路由决策。第一种是先验的上下文信号：来源区域的火险气象指数（FWI）在任何推理运行之前就提示了一个请求可能需要多大的检测算力。第二种是后验的内容信号：先运行一个轻量模型并读取其检测置信度，可在一次低成本的初筛后揭示是否真正需要更重的模型。机器学习界已将这些思想形式化为模型路由（routing）与基于置信度的级联（cascading），近期研究既证实了其成本收益，也揭示了其失效的条件（Chen 等，2023；Jitkrittum 等，2023；Dekoninck 等，2025）。然而，这些结果多针对传统服务器上的大语言模型提出；它们与无服务器成本模型、冷启动动态、CPU 架构以及推理碳足迹的交互，以及在安全攸关视觉任务中的可行性，迄今尚未充分研究。</w:t>
      </w:r>
    </w:p>
    <w:p>
      <w:pPr>
        <w:spacing w:before="240" w:after="80" w:line="276" w:lineRule="auto"/>
      </w:pPr>
      <w:r>
        <w:rPr>
          <w:rFonts w:ascii="Calibri" w:hAnsi="Calibri" w:eastAsia="Microsoft YaHei"/>
          <w:b/>
          <w:i w:val="0"/>
          <w:color w:val="1F3A5F"/>
          <w:sz w:val="26"/>
        </w:rPr>
        <w:t>Hypothesis / 假设</w:t>
      </w:r>
    </w:p>
    <w:p>
      <w:pPr>
        <w:spacing w:before="0" w:after="120" w:line="312" w:lineRule="auto"/>
        <w:jc w:val="both"/>
      </w:pPr>
      <w:r>
        <w:rPr>
          <w:rFonts w:ascii="Calibri" w:hAnsi="Calibri" w:eastAsia="Microsoft YaHei"/>
          <w:b w:val="0"/>
          <w:i w:val="0"/>
          <w:sz w:val="22"/>
        </w:rPr>
        <w:t>We hypothesize that risk-aware adaptive routing — whether driven by a priori zone context or a posteriori nano-model confidence — achieves substantially lower cost and carbon per inference than a static heavy-model deployment while preserving safety-relevant detection recall, and that CPU architecture (arm64/Graviton vs. x86_64) interacts with routing strategy strongly enough that the optimal configuration must be chosen jointly over (model, strategy, architecture) rather than as a sequence of independent decisions.</w:t>
      </w:r>
    </w:p>
    <w:p>
      <w:pPr>
        <w:spacing w:before="0" w:after="120" w:line="312" w:lineRule="auto"/>
        <w:jc w:val="both"/>
      </w:pPr>
      <w:r>
        <w:rPr>
          <w:rFonts w:ascii="Calibri" w:hAnsi="Calibri" w:eastAsia="Microsoft YaHei"/>
          <w:b w:val="0"/>
          <w:i w:val="0"/>
          <w:sz w:val="22"/>
        </w:rPr>
        <w:t>本研究假设：风险感知的自适应路由——无论是由先验的区域上下文驱动，还是由后验的 nano 模型置信度驱动——能在保持与安全相关的检测召回率（recall）的同时，显著降低单次推理的成本与碳排放，优于静态重模型部署；且 CPU 架构（arm64/Graviton 与 x86_64）与路由策略的交互足够强，以至于最优配置必须在（模型、策略、架构）三者上联合优化，而非作为一系列独立决策逐一确定。</w:t>
      </w:r>
    </w:p>
    <w:p>
      <w:pPr>
        <w:spacing w:before="240" w:after="80" w:line="276" w:lineRule="auto"/>
      </w:pPr>
      <w:r>
        <w:rPr>
          <w:rFonts w:ascii="Calibri" w:hAnsi="Calibri" w:eastAsia="Microsoft YaHei"/>
          <w:b/>
          <w:i w:val="0"/>
          <w:color w:val="1F3A5F"/>
          <w:sz w:val="26"/>
        </w:rPr>
        <w:t>Specific Aims / 具体目标</w:t>
      </w:r>
    </w:p>
    <w:p>
      <w:pPr>
        <w:spacing w:before="0" w:after="120" w:line="312" w:lineRule="auto"/>
        <w:jc w:val="both"/>
      </w:pPr>
      <w:r>
        <w:rPr>
          <w:rFonts w:ascii="Calibri" w:hAnsi="Calibri" w:eastAsia="Microsoft YaHei"/>
          <w:b w:val="0"/>
          <w:i w:val="0"/>
          <w:sz w:val="22"/>
        </w:rPr>
        <w:t>This research pursues three aims. First, to characterize the accuracy–cost–carbon–latency trade-off space by benchmarking six YOLO detectors (YOLO11n/s/m and YOLO26n/s/m) on two wildfire datasets, and to derive from the resulting empirical Pareto frontier both the tier mapping for context-based routing and the confidence threshold τ for the cascade — treating each as a data-driven output rather than an assumption (de Venâncio et al., 2022; Sapkota &amp; Karkee, 2025). Second, to compare four deployment strategies — Static-Heavy and Static-Light baselines, Risk-Aware Adaptive (zone/context routing), and Confidence-Cascaded (nano-first, escalate-on-low-confidence routing) — on cost, carbon, latency, and cascade-corrected accuracy under three request-distribution profiles (normal, fire-season, balanced). Third, to evaluate operational viability on serverless infrastructure by deploying every model on both x86_64 and arm64/Graviton Lambda and measuring cold-start behavior under vanilla versus provisioned concurrency.</w:t>
      </w:r>
    </w:p>
    <w:p>
      <w:pPr>
        <w:spacing w:before="0" w:after="120" w:line="312" w:lineRule="auto"/>
        <w:jc w:val="both"/>
      </w:pPr>
      <w:r>
        <w:rPr>
          <w:rFonts w:ascii="Calibri" w:hAnsi="Calibri" w:eastAsia="Microsoft YaHei"/>
          <w:b w:val="0"/>
          <w:i w:val="0"/>
          <w:sz w:val="22"/>
        </w:rPr>
        <w:t>This study moves beyond reporting that adaptive inference saves money to dissecting why and when it does so on serverless infrastructure. By contrasting a context signal (zone risk, known a priori) against a content signal (nano-model confidence, available a posteriori) on the same accuracy axis, the design isolates which signal better preserves safety under shifting demand. By replicating the full strategy matrix across two CPU architectures and two AWS regions, it reframes the deployment choice as a joint optimization over model, strategy, and architecture rather than a sequence of independent decisions. Crucially, carbon is measured directly with process-level instrumentation rather than estimated analytically, giving the sustainability claims empirical grounding (Courty et al., 2024; Wiesner et al., 2021).</w:t>
      </w:r>
    </w:p>
    <w:p>
      <w:pPr>
        <w:spacing w:before="0" w:after="120" w:line="312" w:lineRule="auto"/>
        <w:jc w:val="both"/>
      </w:pPr>
      <w:r>
        <w:rPr>
          <w:rFonts w:ascii="Calibri" w:hAnsi="Calibri" w:eastAsia="Microsoft YaHei"/>
          <w:b w:val="0"/>
          <w:i w:val="0"/>
          <w:sz w:val="22"/>
        </w:rPr>
        <w:t>本研究设定三个具体目标。其一，通过在两个野火数据集上对六个 YOLO 检测器（YOLO11n/s/m 与 YOLO26n/s/m）进行基准测试，刻画“精度–成本–碳排放–延迟”的权衡空间，并从所得的实证帕累托（Pareto）前沿中推导出基于上下文路由的层级映射与级联策略的置信度阈值 τ——将二者均视为数据驱动的输出而非主观假设（de Venâncio 等，2022；Sapkota 与 Karkee，2025）。其二，在三种请求分布画像（常态、火季峰值、均衡）下，就成本、碳排放、延迟与级联修正后的精度，对四种部署策略——静态重模型与静态轻模型基线、风险感知自适应（区域/上下文路由）、以及置信度级联（nano 优先、低置信度时升级）——进行比较。其三，通过将每个模型同时部署在 x86_64 与 arm64/Graviton 两种 Lambda 上，并测量普通并发与预置并发（provisioned concurrency）下的冷启动表现，评估其在无服务器基础设施上的运行可行性。</w:t>
      </w:r>
    </w:p>
    <w:p>
      <w:pPr>
        <w:spacing w:before="0" w:after="120" w:line="312" w:lineRule="auto"/>
        <w:jc w:val="both"/>
      </w:pPr>
      <w:r>
        <w:rPr>
          <w:rFonts w:ascii="Calibri" w:hAnsi="Calibri" w:eastAsia="Microsoft YaHei"/>
          <w:b w:val="0"/>
          <w:i w:val="0"/>
          <w:sz w:val="22"/>
        </w:rPr>
        <w:t>本研究不止于报告“自适应推理能省钱”，而是深入剖析它在无服务器基础设施上为何、何时生效。通过在同一精度轴上对比上下文信号（区域风险，先验可知）与内容信号（nano 模型置信度，后验可得），该设计能分离出哪种信号在需求变动时更能保障安全。通过在两种 CPU 架构与两个 AWS 区域上复现完整策略矩阵，它将部署选择重新界定为对模型、策略与架构的联合优化。尤其重要的是，碳排放采用进程级探针直接测量而非解析估算，为可持续性结论提供实证支撑（Courty 等，2024；Wiesner 等，2021）。</w:t>
      </w:r>
    </w:p>
    <w:p>
      <w:pPr>
        <w:spacing w:before="240" w:after="80" w:line="276" w:lineRule="auto"/>
      </w:pPr>
      <w:r>
        <w:rPr>
          <w:rFonts w:ascii="Calibri" w:hAnsi="Calibri" w:eastAsia="Microsoft YaHei"/>
          <w:b/>
          <w:i w:val="0"/>
          <w:color w:val="1F3A5F"/>
          <w:sz w:val="26"/>
        </w:rPr>
        <w:t>Experiment Plan / 实验计划</w:t>
      </w:r>
    </w:p>
    <w:p>
      <w:pPr>
        <w:spacing w:before="0" w:after="120" w:line="312" w:lineRule="auto"/>
        <w:jc w:val="both"/>
      </w:pPr>
      <w:r>
        <w:rPr>
          <w:rFonts w:ascii="Calibri" w:hAnsi="Calibri" w:eastAsia="Microsoft YaHei"/>
          <w:b w:val="0"/>
          <w:i w:val="0"/>
          <w:sz w:val="22"/>
        </w:rPr>
        <w:t>All six YOLO variants will first be benchmarked locally on the D-Fire dataset (~21K labeled smoke/fire images) and validated on the drone-captured FLAME dataset, recording mAP@0.5, precision, recall, inference time, and CodeCarbon-measured energy per image. These results populate the per-model accuracy table and the mAP-versus-cost/carbon/latency trade-off curves from which the tier mapping is selected. The cascade threshold τ is then calibrated by plotting nano-model maximum-detection-confidence against precision, recall, and false-negative rate on the D-Fire validation set, and choosing the operating point where the escalation rate falls between 20% and 40%; both τ and its sensitivity will be reported.</w:t>
      </w:r>
    </w:p>
    <w:p>
      <w:pPr>
        <w:spacing w:before="0" w:after="120" w:line="312" w:lineRule="auto"/>
        <w:jc w:val="both"/>
      </w:pPr>
      <w:r>
        <w:rPr>
          <w:rFonts w:ascii="Calibri" w:hAnsi="Calibri" w:eastAsia="Microsoft YaHei"/>
          <w:b w:val="0"/>
          <w:i w:val="0"/>
          <w:sz w:val="22"/>
        </w:rPr>
        <w:t>Three hypothetical risk zones will then be defined with assumed FWI values — Zone A (FWI 5, low), Zone B (FWI 15, moderate), and Zone C (FWI 30, high) — deliberately substituting live CWFIS integration to keep the focus on the routing comparison. D-Fire test images will be synthetically geo-tagged to realize three request-distribution profiles (normal 60/25/15, fire-season 15/25/60, balanced 33/34/33), and a lightweight RiskZoneLookup module will map each coordinate to its zone, risk tier, and assumed FWI.</w:t>
      </w:r>
    </w:p>
    <w:p>
      <w:pPr>
        <w:spacing w:before="0" w:after="120" w:line="312" w:lineRule="auto"/>
        <w:jc w:val="both"/>
      </w:pPr>
      <w:r>
        <w:rPr>
          <w:rFonts w:ascii="Calibri" w:hAnsi="Calibri" w:eastAsia="Microsoft YaHei"/>
          <w:b w:val="0"/>
          <w:i w:val="0"/>
          <w:sz w:val="22"/>
        </w:rPr>
        <w:t>Selected models will be containerized and deployed as one AWS Lambda per (model, architecture) pair on both x86_64 and arm64/Graviton, fronted by API Gateway and orchestrated by a Router Lambda that implements all four strategies. CodeCarbon runs inside each container, and structured CloudWatch logs capture request_id, zone, FWI, model_used, architecture, strategy, escalation flag, inference time, energy, and carbon. The pipeline is deployed to us-west-2 and us-east-1 and validated against a suite of routing, cascade, failover, and invalid-input scenarios before any measurement begins.</w:t>
      </w:r>
    </w:p>
    <w:p>
      <w:pPr>
        <w:spacing w:before="0" w:after="120" w:line="312" w:lineRule="auto"/>
        <w:jc w:val="both"/>
      </w:pPr>
      <w:r>
        <w:rPr>
          <w:rFonts w:ascii="Calibri" w:hAnsi="Calibri" w:eastAsia="Microsoft YaHei"/>
          <w:b w:val="0"/>
          <w:i w:val="0"/>
          <w:sz w:val="22"/>
        </w:rPr>
        <w:t>The main experiment runs all four strategies across the three distribution profiles on both architectures, with five repetitions per configuration; means are reported with 95% confidence intervals from 10,000 bootstrap resamples. Companion experiments measure cold start (vanilla vs. provisioned concurrency) for the lightest and heaviest models, repeat the matrix in a second region for the carbon comparison, stress throughput under concurrent load, and validate both adaptive strategies on FLAME. The complete deployment is captured as Terraform infrastructure-as-code so that the cost and carbon results can be re-derived under future pricing.</w:t>
      </w:r>
    </w:p>
    <w:p>
      <w:pPr>
        <w:spacing w:before="0" w:after="120" w:line="312" w:lineRule="auto"/>
        <w:jc w:val="both"/>
      </w:pPr>
      <w:r>
        <w:rPr>
          <w:rFonts w:ascii="Calibri" w:hAnsi="Calibri" w:eastAsia="Microsoft YaHei"/>
          <w:b w:val="0"/>
          <w:i w:val="0"/>
          <w:sz w:val="22"/>
        </w:rPr>
        <w:t>首先，六个 YOLO 变体将在本地于 D-Fire 数据集（约 2.1 万幅带烟/火标注图像）上进行基准测试，并在无人机拍摄的 FLAME 数据集上验证，记录 mAP@0.5、精确率、召回率、推理时间及 CodeCarbon 测得的单幅能耗。这些结果用于填充各模型精度表，以及“mAP 对 成本/碳排放/延迟”的权衡曲线，据此选定层级映射。随后，通过在 D-Fire 验证集上绘制 nano 模型最大检测置信度与精确率、召回率、漏检率的关系来标定级联阈值 τ，选取升级率落在 20% 至 40% 之间的工作点；同时报告 τ 及其敏感性。</w:t>
      </w:r>
    </w:p>
    <w:p>
      <w:pPr>
        <w:spacing w:before="0" w:after="120" w:line="312" w:lineRule="auto"/>
        <w:jc w:val="both"/>
      </w:pPr>
      <w:r>
        <w:rPr>
          <w:rFonts w:ascii="Calibri" w:hAnsi="Calibri" w:eastAsia="Microsoft YaHei"/>
          <w:b w:val="0"/>
          <w:i w:val="0"/>
          <w:sz w:val="22"/>
        </w:rPr>
        <w:t>接着，定义三个假设风险区并赋予假定 FWI 值——A 区（FWI 5，低）、B 区（FWI 15，中）、C 区（FWI 30，高）——有意以此替代实时 CWFIS 集成，以保持对路由对比的聚焦。D-Fire 测试图像将被合成地理标记，以实现三种请求分布画像（常态 60/25/15、火季峰值 15/25/60、均衡 33/34/33）；一个轻量的 RiskZoneLookup 模块将每个坐标映射到其区域、风险等级与假定 FWI。</w:t>
      </w:r>
    </w:p>
    <w:p>
      <w:pPr>
        <w:spacing w:before="0" w:after="120" w:line="312" w:lineRule="auto"/>
        <w:jc w:val="both"/>
      </w:pPr>
      <w:r>
        <w:rPr>
          <w:rFonts w:ascii="Calibri" w:hAnsi="Calibri" w:eastAsia="Microsoft YaHei"/>
          <w:b w:val="0"/>
          <w:i w:val="0"/>
          <w:sz w:val="22"/>
        </w:rPr>
        <w:t>经选定的模型将被容器化，并在 x86_64 与 arm64/Graviton 上按（模型、架构）组合各部署为一个 AWS Lambda，前端由 API Gateway 接入，并由一个实现全部四种策略的 Router Lambda 编排调度。CodeCarbon 在每个容器内运行，结构化 CloudWatch 日志记录 request_id、区域、FWI、所用模型、架构、策略、升级标志、推理时间、能耗与碳排放。流水线部署到 us-west-2 与 us-east-1，并在正式测量前通过路由、级联、故障转移与非法输入等一系列场景验证。</w:t>
      </w:r>
    </w:p>
    <w:p>
      <w:pPr>
        <w:spacing w:before="0" w:after="120" w:line="312" w:lineRule="auto"/>
        <w:jc w:val="both"/>
      </w:pPr>
      <w:r>
        <w:rPr>
          <w:rFonts w:ascii="Calibri" w:hAnsi="Calibri" w:eastAsia="Microsoft YaHei"/>
          <w:b w:val="0"/>
          <w:i w:val="0"/>
          <w:sz w:val="22"/>
        </w:rPr>
        <w:t>主实验在两种架构上、三种分布画像中运行全部四种策略，每种配置重复 5 次；均值以 10,000 次自助法（bootstrap）重采样得到的 95% 置信区间报告。配套实验测量最轻与最重模型的冷启动（普通并发对预置并发），在第二个区域重复矩阵以进行碳排放对比，在并发负载下压测吞吐量，并在 FLAME 上验证两种自适应策略。整个部署以 Terraform 基础设施即代码（IaC）形式固化，以便在未来定价下重新推导成本与碳排放结果。</w:t>
      </w:r>
    </w:p>
    <w:p>
      <w:pPr>
        <w:spacing w:before="240" w:after="80" w:line="276" w:lineRule="auto"/>
      </w:pPr>
      <w:r>
        <w:rPr>
          <w:rFonts w:ascii="Calibri" w:hAnsi="Calibri" w:eastAsia="Microsoft YaHei"/>
          <w:b/>
          <w:i w:val="0"/>
          <w:color w:val="1F3A5F"/>
          <w:sz w:val="26"/>
        </w:rPr>
        <w:t>Discussions and Limitations / 讨论与局限</w:t>
      </w:r>
    </w:p>
    <w:p>
      <w:pPr>
        <w:spacing w:before="0" w:after="120" w:line="312" w:lineRule="auto"/>
        <w:jc w:val="both"/>
      </w:pPr>
      <w:r>
        <w:rPr>
          <w:rFonts w:ascii="Calibri" w:hAnsi="Calibri" w:eastAsia="Microsoft YaHei"/>
          <w:b w:val="0"/>
          <w:i w:val="0"/>
          <w:sz w:val="22"/>
        </w:rPr>
        <w:t>These experiments will clarify when context-based routing outperforms content-based cascading, and whether either can cut cost and carbon without sacrificing the recall that wildfire safety demands: a finding that low-risk routing is safe would justify large savings, whereas evidence that the cascade better protects recall under fire-season demand would favor the content signal. The work also yields practitioner findings of independent value — most notably that AWS Lambda SnapStart's incompatibility with both container images and arm64 places it out of reach for containerized ML inference. Several limitations bound these conclusions. The risk zones and FWI values are hypothetical rather than drawn from live CWFIS data, and the synthetic geo-tagging imposes a spatial distribution that real traffic may not follow; the three distribution profiles only partially mitigate this. The cascade further assumes the nano model's confidence scores are reasonably calibrated, which pretrained detectors often violate on out-of-distribution inputs — hence τ is calibrated empirically and its sensitivity reported. Finally, results are specific to AWS and to two datasets; the routing-strategy conclusions should generalize, but the absolute cost, cold-start, and carbon figures will not. Should provisioned-concurrency costs or Lambda concurrency limits prove binding, they will be documented as findings rather than treated as blockers, and the architecture dimension can be reduced to x86_64 alone without invalidating the core comparison.</w:t>
      </w:r>
    </w:p>
    <w:p>
      <w:pPr>
        <w:spacing w:before="0" w:after="120" w:line="312" w:lineRule="auto"/>
        <w:jc w:val="both"/>
      </w:pPr>
      <w:r>
        <w:rPr>
          <w:rFonts w:ascii="Calibri" w:hAnsi="Calibri" w:eastAsia="Microsoft YaHei"/>
          <w:b w:val="0"/>
          <w:i w:val="0"/>
          <w:sz w:val="22"/>
        </w:rPr>
        <w:t>这些实验将阐明基于上下文的路由何时优于基于内容的级联，以及二者是否能在不牺牲野火安全所需召回率的前提下削减成本与碳排放：若发现低风险路由是安全的，则可证明大幅节省的合理性；而若证据表明级联在火季需求下更能保护召回率，则更应采用内容信号。本研究还将产生具有独立价值的实践性发现——尤其是 AWS Lambda SnapStart 与容器镜像及 arm64 均不兼容，使其无法用于容器化的 ML 推理。上述结论受几点局限约束。风险区与 FWI 值为假设值，而非来自实时 CWFIS 数据；合成地理标记所施加的空间分布可能与真实流量不符，三种分布画像仅能部分缓解该问题。级联还假定 nano 模型的置信度较为校准，而预训练检测器在分布外输入上常常违反这一点——因此 τ 采用实证标定并报告其敏感性。最后，结果仅适用于 AWS 与两个数据集；路由策略的结论应可推广，但绝对的成本、冷启动与碳排放数值则不能。若预置并发成本或 Lambda 并发上限成为瓶颈，则将其记录为研究发现而非障碍，且架构维度可缩减为仅 x86_64，而不会动摇核心对比。</w:t>
      </w:r>
    </w:p>
    <w:p>
      <w:pPr>
        <w:spacing w:before="240" w:after="80" w:line="276" w:lineRule="auto"/>
      </w:pPr>
      <w:r>
        <w:rPr>
          <w:rFonts w:ascii="Calibri" w:hAnsi="Calibri" w:eastAsia="Microsoft YaHei"/>
          <w:b/>
          <w:i w:val="0"/>
          <w:color w:val="1F3A5F"/>
          <w:sz w:val="26"/>
        </w:rPr>
        <w:t>References / 参考文献</w:t>
      </w:r>
    </w:p>
    <w:p>
      <w:pPr>
        <w:spacing w:after="120" w:line="288" w:lineRule="auto"/>
        <w:ind w:left="480" w:hanging="480"/>
      </w:pPr>
      <w:r>
        <w:rPr>
          <w:rFonts w:ascii="Calibri" w:hAnsi="Calibri" w:eastAsia="Microsoft YaHei"/>
          <w:b w:val="0"/>
          <w:i w:val="0"/>
          <w:sz w:val="20"/>
        </w:rPr>
        <w:t>Aibin, M., et al. (2026). Survey of AI-enabled IoT for wildfire prediction, detection, and post-operations. IEEE Access. https://ieeexplore.ieee.org/document/11355433</w:t>
      </w:r>
    </w:p>
    <w:p>
      <w:pPr>
        <w:spacing w:after="120" w:line="288" w:lineRule="auto"/>
        <w:ind w:left="480" w:hanging="480"/>
      </w:pPr>
      <w:r>
        <w:rPr>
          <w:rFonts w:ascii="Calibri" w:hAnsi="Calibri" w:eastAsia="Microsoft YaHei"/>
          <w:b w:val="0"/>
          <w:i w:val="0"/>
          <w:sz w:val="20"/>
        </w:rPr>
        <w:t>Chen, L., Zaharia, M., &amp; Zou, J. (2023). FrugalGPT: How to use large language models while reducing cost and improving performance (arXiv Preprint No. 2305.05176). arXiv. https://doi.org/10.48550/arXiv.2305.05176</w:t>
      </w:r>
    </w:p>
    <w:p>
      <w:pPr>
        <w:spacing w:after="120" w:line="288" w:lineRule="auto"/>
        <w:ind w:left="480" w:hanging="480"/>
      </w:pPr>
      <w:r>
        <w:rPr>
          <w:rFonts w:ascii="Calibri" w:hAnsi="Calibri" w:eastAsia="Microsoft YaHei"/>
          <w:b w:val="0"/>
          <w:i w:val="0"/>
          <w:sz w:val="20"/>
        </w:rPr>
        <w:t>Courty, B., Schmidt, V., Luccioni, S., et al. (2024). CodeCarbon: Estimate and track carbon emissions from machine learning computing [Computer software]. Zenodo. https://doi.org/10.5281/zenodo.11171501</w:t>
      </w:r>
    </w:p>
    <w:p>
      <w:pPr>
        <w:spacing w:after="120" w:line="288" w:lineRule="auto"/>
        <w:ind w:left="480" w:hanging="480"/>
      </w:pPr>
      <w:r>
        <w:rPr>
          <w:rFonts w:ascii="Calibri" w:hAnsi="Calibri" w:eastAsia="Microsoft YaHei"/>
          <w:b w:val="0"/>
          <w:i w:val="0"/>
          <w:sz w:val="20"/>
        </w:rPr>
        <w:t>Dekoninck, J., Baader, M., &amp; Vechev, M. (2025). A unified approach to routing and cascading for LLMs. In Proceedings of the 42nd International Conference on Machine Learning (ICML). arXiv. https://doi.org/10.48550/arXiv.2410.10347</w:t>
      </w:r>
    </w:p>
    <w:p>
      <w:pPr>
        <w:spacing w:after="120" w:line="288" w:lineRule="auto"/>
        <w:ind w:left="480" w:hanging="480"/>
      </w:pPr>
      <w:r>
        <w:rPr>
          <w:rFonts w:ascii="Calibri" w:hAnsi="Calibri" w:eastAsia="Microsoft YaHei"/>
          <w:b w:val="0"/>
          <w:i w:val="0"/>
          <w:sz w:val="20"/>
        </w:rPr>
        <w:t>de Venâncio, P. V. A. B., Lisboa, A. C., &amp; Barbosa, A. V. (2022). An automatic fire detection system based on deep convolutional neural networks for low-power, resource-constrained devices. Neural Computing and Applications, 34(18), 15349–15368. https://doi.org/10.1007/s00521-022-07467-z</w:t>
      </w:r>
    </w:p>
    <w:p>
      <w:pPr>
        <w:spacing w:after="120" w:line="288" w:lineRule="auto"/>
        <w:ind w:left="480" w:hanging="480"/>
      </w:pPr>
      <w:r>
        <w:rPr>
          <w:rFonts w:ascii="Calibri" w:hAnsi="Calibri" w:eastAsia="Microsoft YaHei"/>
          <w:b w:val="0"/>
          <w:i w:val="0"/>
          <w:sz w:val="20"/>
        </w:rPr>
        <w:t>Jitkrittum, W., Gupta, N., Menon, A. K., Narasimhan, H., Rawat, A. S., &amp; Kumar, S. (2023). When does confidence-based cascade deferral suffice? In Advances in Neural Information Processing Systems (NeurIPS) 36. arXiv. https://doi.org/10.48550/arXiv.2307.02764</w:t>
      </w:r>
    </w:p>
    <w:p>
      <w:pPr>
        <w:spacing w:after="120" w:line="288" w:lineRule="auto"/>
        <w:ind w:left="480" w:hanging="480"/>
      </w:pPr>
      <w:r>
        <w:rPr>
          <w:rFonts w:ascii="Calibri" w:hAnsi="Calibri" w:eastAsia="Microsoft YaHei"/>
          <w:b w:val="0"/>
          <w:i w:val="0"/>
          <w:sz w:val="20"/>
        </w:rPr>
        <w:t>Sapkota, R., &amp; Karkee, M. (2025). Ultralytics YOLO evolution: An overview of YOLO26, YOLO11, YOLOv8, and YOLOv5 object detectors for computer vision and pattern recognition (arXiv Preprint No. 2510.09653). arXiv. https://doi.org/10.48550/arXiv.2510.09653</w:t>
      </w:r>
    </w:p>
    <w:p>
      <w:pPr>
        <w:spacing w:after="120" w:line="288" w:lineRule="auto"/>
        <w:ind w:left="480" w:hanging="480"/>
      </w:pPr>
      <w:r>
        <w:rPr>
          <w:rFonts w:ascii="Calibri" w:hAnsi="Calibri" w:eastAsia="Microsoft YaHei"/>
          <w:b w:val="0"/>
          <w:i w:val="0"/>
          <w:sz w:val="20"/>
        </w:rPr>
        <w:t>Shamsoshoara, A., Afghah, F., Razi, A., Zheng, L., Fulé, P. Z., &amp; Blasch, E. (2021). Aerial imagery pile burn detection using deep learning: The FLAME dataset. Computer Networks, 193, 108001. https://doi.org/10.1016/j.comnet.2021.108001</w:t>
      </w:r>
    </w:p>
    <w:p>
      <w:pPr>
        <w:spacing w:after="120" w:line="288" w:lineRule="auto"/>
        <w:ind w:left="480" w:hanging="480"/>
      </w:pPr>
      <w:r>
        <w:rPr>
          <w:rFonts w:ascii="Calibri" w:hAnsi="Calibri" w:eastAsia="Microsoft YaHei"/>
          <w:b w:val="0"/>
          <w:i w:val="0"/>
          <w:sz w:val="20"/>
        </w:rPr>
        <w:t>Wiesner, P., Behnke, I., Scheinert, D., Gontarska, K., &amp; Thamsen, L. (2021). Let's wait awhile: How temporal workload shifting can reduce carbon emissions in the cloud. In Proceedings of the 22nd International Middleware Conference, 260–272. https://doi.org/10.1145/3464298.3493399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