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Predicting the number of visits to physician using a hierarchical Poisson model: A case in the General Hospital of the city of St. John’s, Canada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BST 5220 Multilevel and Longitudinal Analysis Final Project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>
          <w:rtl w:val="0"/>
        </w:rPr>
        <w:t xml:space="preserve">Cheng-You Tsai, Miao Cai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>
          <w:rtl w:val="0"/>
        </w:rPr>
        <w:t xml:space="preserve">Instructor: Dr. Hong Xian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jc w:val="center"/>
        <w:rPr/>
      </w:pPr>
      <w:r w:rsidDel="00000000" w:rsidR="00000000" w:rsidRPr="00000000">
        <w:rPr>
          <w:rtl w:val="0"/>
        </w:rPr>
        <w:t xml:space="preserve">May 6, 2019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Figure 1. Count data of visit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Yes, </w:t>
      </w:r>
      <w:r w:rsidDel="00000000" w:rsidR="00000000" w:rsidRPr="00000000">
        <w:rPr>
          <w:highlight w:val="white"/>
          <w:rtl w:val="0"/>
        </w:rPr>
        <w:t xml:space="preserve">the plot appears to be right-skewed.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1.Random-intercept only model</w:t>
      </w:r>
    </w:p>
    <w:p w:rsidR="00000000" w:rsidDel="00000000" w:rsidP="00000000" w:rsidRDefault="00000000" w:rsidRPr="00000000" w14:paraId="00000017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family_ID ID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family_ID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276" w:lineRule="auto"/>
        <w:ind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276" w:lineRule="auto"/>
        <w:ind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rPr>
          <w:rFonts w:ascii="Courier New" w:cs="Courier New" w:eastAsia="Courier New" w:hAnsi="Courier New"/>
          <w:color w:val="02020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</w:rPr>
        <w:drawing>
          <wp:inline distB="114300" distT="114300" distL="114300" distR="114300">
            <wp:extent cx="3314700" cy="27051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Since the intercept at the family level is not significant (estimate: 0.01789, P-value = 0.4295), we excluded the random intercept at this level.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Exclude insignificant random intercepts at family level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305175" cy="25527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 level 2 (individual ID) random intercepts are significant (P-value = 0.029). Therefore, we keep the individual ID in the model. However, the generalized Chi-square/df = 1.92, suggesting overdispersion or underfit of the model.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Adjust for overdispersion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We added a scale parameter to the model – the R-side variance through the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” statement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19145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294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R-side variance = 2.10 : the overdispersion parameter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level-2 variance = 1.01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level-1 and level-2 variance are significantly different from 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2871788" cy="7212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72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Model parameter without the scale parameter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2862263" cy="73050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730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Model parameter with the scale parameter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320" w:line="240" w:lineRule="auto"/>
        <w:ind w:left="720" w:hanging="360"/>
      </w:pPr>
      <w:r w:rsidDel="00000000" w:rsidR="00000000" w:rsidRPr="00000000">
        <w:rPr>
          <w:rtl w:val="0"/>
        </w:rPr>
        <w:t xml:space="preserve">At the third step, we can see that the model parameter results with and without the scale parameter are very similar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tl w:val="0"/>
        </w:rPr>
        <w:t xml:space="preserve">According to - 2 Res Log Pseudo-Likelihood, after adjusting for overdispersion, Step 3 model is significantly better than 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Adding level-1 variable - Year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80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rtl w:val="0"/>
        </w:rPr>
        <w:t xml:space="preserve">glimmix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ID family_ID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year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int year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year </w:t>
      </w:r>
      <w:r w:rsidDel="00000000" w:rsidR="00000000" w:rsidRPr="00000000">
        <w:rPr>
          <w:rFonts w:ascii="Consolas" w:cs="Consolas" w:eastAsia="Consolas" w:hAnsi="Consolas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nsolas" w:cs="Consolas" w:eastAsia="Consolas" w:hAnsi="Consolas"/>
          <w:color w:val="00008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</w:rPr>
        <w:drawing>
          <wp:inline distB="114300" distT="114300" distL="114300" distR="114300">
            <wp:extent cx="3495675" cy="36099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000080"/>
          <w:u w:val="none"/>
        </w:rPr>
      </w:pPr>
      <w:r w:rsidDel="00000000" w:rsidR="00000000" w:rsidRPr="00000000">
        <w:rPr>
          <w:rtl w:val="0"/>
        </w:rPr>
        <w:t xml:space="preserve">Level-1 variance reduced from 2.10 to 2.04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rFonts w:ascii="Courier New" w:cs="Courier New" w:eastAsia="Courier New" w:hAnsi="Courier New"/>
          <w:color w:val="000080"/>
          <w:u w:val="none"/>
        </w:rPr>
      </w:pPr>
      <w:r w:rsidDel="00000000" w:rsidR="00000000" w:rsidRPr="00000000">
        <w:rPr>
          <w:rtl w:val="0"/>
        </w:rPr>
        <w:t xml:space="preserve">Level-2 variance slightly increased (from 1.01 to 1.02) 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723900"/>
            <wp:effectExtent b="0" l="0" r="0" t="0"/>
            <wp:docPr id="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320" w:line="276" w:lineRule="auto"/>
        <w:ind w:left="720" w:hanging="360"/>
      </w:pPr>
      <w:r w:rsidDel="00000000" w:rsidR="00000000" w:rsidRPr="00000000">
        <w:rPr>
          <w:rtl w:val="0"/>
        </w:rPr>
        <w:t xml:space="preserve">For every one additional year the number of visits to physician is individual increased by 5.97 %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Add year random slope effect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year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Estimate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rtl w:val="0"/>
        </w:rPr>
        <w:t xml:space="preserve">'year' 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expcl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571750" cy="33242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After adding time random slopes, the algorithm cannot converge, so we exclude the year random effects and only use year as fixed effects.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Add level 2 variables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>
          <w:rFonts w:ascii="Consolas" w:cs="Consolas" w:eastAsia="Consolas" w:hAnsi="Consolas"/>
          <w:b w:val="1"/>
          <w:color w:val="02020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ID family_ID gender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education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year gender chronic education age_base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year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'F vs M'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gender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'chronic'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chronic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'high school vs less than high school'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education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'university graduate vs less than high school'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education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'post graduate vs less than high school'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education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estimate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80"/>
          <w:rtl w:val="0"/>
        </w:rPr>
        <w:t xml:space="preserve">'age_base'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age_base </w:t>
      </w:r>
      <w:r w:rsidDel="00000000" w:rsidR="00000000" w:rsidRPr="00000000">
        <w:rPr>
          <w:rFonts w:ascii="Consolas" w:cs="Consolas" w:eastAsia="Consolas" w:hAnsi="Consolas"/>
          <w:b w:val="1"/>
          <w:color w:val="08726d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rPr>
          <w:rFonts w:ascii="Consolas" w:cs="Consolas" w:eastAsia="Consolas" w:hAnsi="Consolas"/>
          <w:b w:val="1"/>
          <w:color w:val="020202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02020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928839" cy="1519238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83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4621" cy="1995488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621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7925" cy="132397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Level-2 variance reduced  from 1.02 to 0.70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after="320" w:line="240" w:lineRule="auto"/>
        <w:ind w:left="720" w:hanging="360"/>
      </w:pPr>
      <w:r w:rsidDel="00000000" w:rsidR="00000000" w:rsidRPr="00000000">
        <w:rPr>
          <w:rtl w:val="0"/>
        </w:rPr>
        <w:t xml:space="preserve">Level-1 variance (2.04) remained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All the type 3 tests of fixed effects are significant for the level 2 variables.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-webkit-standard" w:cs="-webkit-standard" w:eastAsia="-webkit-standard" w:hAnsi="-webkit-standard"/>
        </w:rPr>
        <w:drawing>
          <wp:inline distB="114300" distT="114300" distL="114300" distR="114300">
            <wp:extent cx="6601641" cy="1481138"/>
            <wp:effectExtent b="0" l="0" r="0" t="0"/>
            <wp:docPr id="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641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Controlling/adjusted for all other factors,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physician for every additional year is multiplied by exp(0.06) = 1.06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physician for female is two time that for male.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For every unit change in chronic status the number of visits to a physician by each individual is multiplied by exp(0.23)=1.26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a physician by each individual for people having an education of high school is exp(0.49)=1.64 times that for less than high school.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spacing w:line="254.7691200000000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a physician by each individual for people having an education of university graduate is exp(0.45)=1.57 times that for less than high school.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spacing w:line="254.7691200000000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For every unit change in age_basethe number of visits to a physician by each individual is multiplied by exp(0.01)=1.01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Testing interaction between level 1 and level 2 variables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interaction between year and gender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 gender education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year gender chronic education age_base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628900" cy="16097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 type 3 effects for the interaction between year and gender was not significant. Therefore, this model is not better than model 6.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interaction between year and chronic disease</w:t>
      </w:r>
    </w:p>
    <w:p w:rsidR="00000000" w:rsidDel="00000000" w:rsidP="00000000" w:rsidRDefault="00000000" w:rsidRPr="00000000" w14:paraId="00000087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 gender education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chronic gender education age_base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76" w:lineRule="auto"/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647950" cy="15906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 type 3 effects for the interaction between year and chronic disease was not significant. Therefore, this model is not better than model 6.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interaction between year and education</w:t>
      </w:r>
    </w:p>
    <w:p w:rsidR="00000000" w:rsidDel="00000000" w:rsidP="00000000" w:rsidRDefault="00000000" w:rsidRPr="00000000" w14:paraId="00000091">
      <w:pP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604863" cy="2709863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863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4088" cy="1238856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238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 type 3 effects for the interaction between year and education was not significant. Therefore, this model is not better than model 6.</w:t>
      </w:r>
    </w:p>
    <w:p w:rsidR="00000000" w:rsidDel="00000000" w:rsidP="00000000" w:rsidRDefault="00000000" w:rsidRPr="00000000" w14:paraId="00000093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interaction between year and age_base</w:t>
      </w:r>
    </w:p>
    <w:p w:rsidR="00000000" w:rsidDel="00000000" w:rsidP="00000000" w:rsidRDefault="00000000" w:rsidRPr="00000000" w14:paraId="00000095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glimmix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F.finalprojectdata_bst522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noitprint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noclprint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 ID family_ID gender education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visit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year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age_base chronic gender education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poisson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log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_residual_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family_ID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COVTEST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8686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WALD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76" w:lineRule="auto"/>
        <w:ind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724150" cy="1562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The type 3 effects for the interaction between year and age_base was not significant. Therefore, this model is not better than model 6.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Therefore, the final model is at step 6.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3424238" cy="2112465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11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09788" cy="114109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114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Type 3 analysis suggests that the significant variables are year, gender, chronic disease, education, and age_base. </w:t>
      </w:r>
    </w:p>
    <w:p w:rsidR="00000000" w:rsidDel="00000000" w:rsidP="00000000" w:rsidRDefault="00000000" w:rsidRPr="00000000" w14:paraId="000000A2">
      <w:pPr>
        <w:spacing w:line="240" w:lineRule="auto"/>
        <w:ind w:firstLine="0"/>
        <w:rPr>
          <w:rFonts w:ascii="-webkit-standard" w:cs="-webkit-standard" w:eastAsia="-webkit-standard" w:hAnsi="-webkit-standard"/>
        </w:rPr>
      </w:pPr>
      <w:r w:rsidDel="00000000" w:rsidR="00000000" w:rsidRPr="00000000">
        <w:rPr>
          <w:rFonts w:ascii="-webkit-standard" w:cs="-webkit-standard" w:eastAsia="-webkit-standard" w:hAnsi="-webkit-standard"/>
        </w:rPr>
        <w:drawing>
          <wp:inline distB="114300" distT="114300" distL="114300" distR="114300">
            <wp:extent cx="6601641" cy="1481138"/>
            <wp:effectExtent b="0" l="0" r="0" t="0"/>
            <wp:docPr id="1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1641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Controlling/adjusted for all other factors,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physician for every additional year is multiplied by exp(0.06) = 1.06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physician for female is two time that for male.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For every unit change in chronic status the number of visits to a physician by each individual is multiplied by exp(0.23)=1.26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a physician by each individual for people having an education of high school is exp(0.49)=1.64 times that for less than high school.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"/>
        </w:numPr>
        <w:spacing w:line="254.7691200000000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visits to a physician by each individual for people having an education of university graduate is exp(0.45)=1.57 times that for less than high school.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2"/>
        </w:numPr>
        <w:spacing w:line="254.76912000000002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6"/>
          <w:szCs w:val="26"/>
          <w:rtl w:val="0"/>
        </w:rPr>
        <w:t xml:space="preserve">For every unit change in age_basethe number of visits to a physician by each individual is multiplied by exp(0.01)=1.01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Consolas"/>
  <w:font w:name="Times New Roman"/>
  <w:font w:name="Calibri"/>
  <w:font w:name="-webkit-standar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➢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◆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4.png"/><Relationship Id="rId24" Type="http://schemas.openxmlformats.org/officeDocument/2006/relationships/image" Target="media/image7.jp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4.jpg"/><Relationship Id="rId25" Type="http://schemas.openxmlformats.org/officeDocument/2006/relationships/image" Target="media/image5.jp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8.png"/><Relationship Id="rId8" Type="http://schemas.openxmlformats.org/officeDocument/2006/relationships/image" Target="media/image20.png"/><Relationship Id="rId11" Type="http://schemas.openxmlformats.org/officeDocument/2006/relationships/image" Target="media/image1.jpg"/><Relationship Id="rId10" Type="http://schemas.openxmlformats.org/officeDocument/2006/relationships/image" Target="media/image15.png"/><Relationship Id="rId13" Type="http://schemas.openxmlformats.org/officeDocument/2006/relationships/image" Target="media/image19.jpg"/><Relationship Id="rId12" Type="http://schemas.openxmlformats.org/officeDocument/2006/relationships/image" Target="media/image13.png"/><Relationship Id="rId15" Type="http://schemas.openxmlformats.org/officeDocument/2006/relationships/image" Target="media/image6.jpg"/><Relationship Id="rId14" Type="http://schemas.openxmlformats.org/officeDocument/2006/relationships/image" Target="media/image10.png"/><Relationship Id="rId17" Type="http://schemas.openxmlformats.org/officeDocument/2006/relationships/image" Target="media/image8.jpg"/><Relationship Id="rId16" Type="http://schemas.openxmlformats.org/officeDocument/2006/relationships/image" Target="media/image11.jpg"/><Relationship Id="rId19" Type="http://schemas.openxmlformats.org/officeDocument/2006/relationships/image" Target="media/image16.png"/><Relationship Id="rId1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