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w:t>
      </w:r>
      <w:r>
        <w:t xml:space="preserve"> </w:t>
      </w:r>
      <w:r>
        <w:t xml:space="preserve">Miao</w:t>
      </w:r>
      <w:r>
        <w:t xml:space="preserve"> </w:t>
      </w:r>
      <w:r>
        <w:t xml:space="preserve">Cai</w:t>
      </w:r>
    </w:p>
    <w:p>
      <w:pPr>
        <w:pStyle w:val="Author"/>
      </w:pPr>
      <w:r>
        <w:t xml:space="preserve">Miao</w:t>
      </w:r>
      <w:r>
        <w:t xml:space="preserve"> </w:t>
      </w:r>
      <w:r>
        <w:t xml:space="preserve">Cai</w:t>
      </w:r>
      <w:r>
        <w:t xml:space="preserve"> </w:t>
      </w:r>
      <w:hyperlink r:id="rId20">
        <w:r>
          <w:rPr>
            <w:rStyle w:val="Hyperlink"/>
          </w:rPr>
          <w:t xml:space="preserve">miao.cai@slu.edu</w:t>
        </w:r>
      </w:hyperlink>
    </w:p>
    <w:p>
      <w:pPr>
        <w:pStyle w:val="Date"/>
      </w:pPr>
      <w:r>
        <w:t xml:space="preserve">3/4/2019</w:t>
      </w:r>
    </w:p>
    <w:p>
      <w:pPr>
        <w:pStyle w:val="FirstParagraph"/>
      </w:pPr>
      <w:r>
        <w:t xml:space="preserve">59 epileptic patients were randomized to treatment with Progabide (analog and prodrug of gamma-aminobutyric acid), or to placebo in addition to standard chemotherapy, so that 28 patients on placebo and 31 patients on progabide. The numbers of seizures were collected on each patient at baseline, 2, 4, 6 and 8 weeks after the baseline. Data is given on the blackboard.</w:t>
      </w:r>
    </w:p>
    <w:p>
      <w:pPr>
        <w:pStyle w:val="BodyText"/>
      </w:pPr>
      <w:r>
        <w:t xml:space="preserve">Questions:</w:t>
      </w:r>
    </w:p>
    <w:p>
      <w:pPr>
        <w:pStyle w:val="Compact"/>
        <w:numPr>
          <w:numId w:val="1001"/>
          <w:ilvl w:val="0"/>
        </w:numPr>
      </w:pPr>
      <w:r>
        <w:t xml:space="preserve">Convert these wide-form data to long-form. Refer to lecture 1, slide33.</w:t>
      </w:r>
    </w:p>
    <w:p>
      <w:pPr>
        <w:pStyle w:val="Compact"/>
        <w:numPr>
          <w:numId w:val="1001"/>
          <w:ilvl w:val="0"/>
        </w:numPr>
      </w:pPr>
      <w:r>
        <w:t xml:space="preserve">Graphically examine the association between the number of seizures and week. What do the graphs indicate about the pattern of change of the numbers of seizures over time (positive or negative)?</w:t>
      </w:r>
    </w:p>
    <w:p>
      <w:pPr>
        <w:pStyle w:val="Compact"/>
        <w:numPr>
          <w:numId w:val="1001"/>
          <w:ilvl w:val="0"/>
        </w:numPr>
      </w:pPr>
      <w:r>
        <w:t xml:space="preserve">Use the mixed model building strategies developed in lecture 7 to determine the best model. Report the G and V matrices at each step. For the final model, report the within-subject correlation and interpret all significant effects.</w:t>
      </w:r>
    </w:p>
    <w:p>
      <w:pPr>
        <w:pStyle w:val="Compact"/>
        <w:numPr>
          <w:numId w:val="1001"/>
          <w:ilvl w:val="0"/>
        </w:numPr>
      </w:pPr>
      <w:r>
        <w:t xml:space="preserve">Fit the GEE model with an appropriate working correlation matrix (EXCH, UN, AR(1), or TOEP).</w:t>
      </w:r>
    </w:p>
    <w:p>
      <w:pPr>
        <w:pStyle w:val="FirstParagraph"/>
      </w:pPr>
      <w:r>
        <w:rPr>
          <w:b/>
        </w:rPr>
        <w:t xml:space="preserve">Answers:</w:t>
      </w:r>
    </w:p>
    <w:p>
      <w:pPr>
        <w:pStyle w:val="Compact"/>
        <w:numPr>
          <w:numId w:val="1002"/>
          <w:ilvl w:val="0"/>
        </w:numPr>
      </w:pPr>
      <w:r>
        <w:t xml:space="preserve">Wide format to long format:</w:t>
      </w:r>
    </w:p>
    <w:p>
      <w:pPr>
        <w:pStyle w:val="SourceCode"/>
      </w:pPr>
      <w:r>
        <w:rPr>
          <w:rStyle w:val="NormalTok"/>
        </w:rPr>
        <w:t xml:space="preserve">pacman</w:t>
      </w:r>
      <w:r>
        <w:rPr>
          <w:rStyle w:val="OperatorTok"/>
        </w:rPr>
        <w:t xml:space="preserve">::</w:t>
      </w:r>
      <w:r>
        <w:rPr>
          <w:rStyle w:val="KeywordTok"/>
        </w:rPr>
        <w:t xml:space="preserve">p_load</w:t>
      </w:r>
      <w:r>
        <w:rPr>
          <w:rStyle w:val="NormalTok"/>
        </w:rPr>
        <w:t xml:space="preserve">(tidyverse, tidyr)</w:t>
      </w:r>
      <w:r>
        <w:br w:type="textWrapping"/>
      </w:r>
      <w:r>
        <w:rPr>
          <w:rStyle w:val="NormalTok"/>
        </w:rPr>
        <w:t xml:space="preserve">dat =</w:t>
      </w:r>
      <w:r>
        <w:rPr>
          <w:rStyle w:val="StringTok"/>
        </w:rPr>
        <w:t xml:space="preserve"> </w:t>
      </w:r>
      <w:r>
        <w:rPr>
          <w:rStyle w:val="NormalTok"/>
        </w:rPr>
        <w:t xml:space="preserve">haven</w:t>
      </w:r>
      <w:r>
        <w:rPr>
          <w:rStyle w:val="OperatorTok"/>
        </w:rPr>
        <w:t xml:space="preserve">::</w:t>
      </w:r>
      <w:r>
        <w:rPr>
          <w:rStyle w:val="KeywordTok"/>
        </w:rPr>
        <w:t xml:space="preserve">read_sas</w:t>
      </w:r>
      <w:r>
        <w:rPr>
          <w:rStyle w:val="NormalTok"/>
        </w:rPr>
        <w:t xml:space="preserve">(</w:t>
      </w:r>
      <w:r>
        <w:rPr>
          <w:rStyle w:val="StringTok"/>
        </w:rPr>
        <w:t xml:space="preserve">'HW4/one.sas7bdat'</w:t>
      </w:r>
      <w:r>
        <w:rPr>
          <w:rStyle w:val="NormalTok"/>
        </w:rPr>
        <w:t xml:space="preserve">)</w:t>
      </w:r>
      <w:r>
        <w:br w:type="textWrapping"/>
      </w:r>
      <w:r>
        <w:br w:type="textWrapping"/>
      </w:r>
      <w:r>
        <w:rPr>
          <w:rStyle w:val="NormalTok"/>
        </w:rPr>
        <w:t xml:space="preserve">datlong =</w:t>
      </w:r>
      <w:r>
        <w:rPr>
          <w:rStyle w:val="StringTok"/>
        </w:rPr>
        <w:t xml:space="preserve"> </w:t>
      </w:r>
      <w:r>
        <w:rPr>
          <w:rStyle w:val="NormalTok"/>
        </w:rPr>
        <w:t xml:space="preserve">dat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'seizure_num'</w:t>
      </w:r>
      <w:r>
        <w:rPr>
          <w:rStyle w:val="NormalTok"/>
        </w:rPr>
        <w:t xml:space="preserve">, </w:t>
      </w:r>
      <w:r>
        <w:rPr>
          <w:rStyle w:val="DataTypeTok"/>
        </w:rPr>
        <w:t xml:space="preserve">value =</w:t>
      </w:r>
      <w:r>
        <w:rPr>
          <w:rStyle w:val="NormalTok"/>
        </w:rPr>
        <w:t xml:space="preserve"> </w:t>
      </w:r>
      <w:r>
        <w:rPr>
          <w:rStyle w:val="StringTok"/>
        </w:rPr>
        <w:t xml:space="preserve">'seizure'</w:t>
      </w:r>
      <w:r>
        <w:rPr>
          <w:rStyle w:val="NormalTok"/>
        </w:rPr>
        <w:t xml:space="preserve">, </w:t>
      </w:r>
      <w:r>
        <w:rPr>
          <w:rStyle w:val="OperatorTok"/>
        </w:rPr>
        <w:t xml:space="preserve">-</w:t>
      </w:r>
      <w:r>
        <w:rPr>
          <w:rStyle w:val="NormalTok"/>
        </w:rPr>
        <w:t xml:space="preserve">ID, </w:t>
      </w:r>
      <w:r>
        <w:rPr>
          <w:rStyle w:val="OperatorTok"/>
        </w:rPr>
        <w:t xml:space="preserve">-</w:t>
      </w:r>
      <w:r>
        <w:rPr>
          <w:rStyle w:val="NormalTok"/>
        </w:rPr>
        <w:t xml:space="preserve">Treatment, </w:t>
      </w:r>
      <w:r>
        <w:rPr>
          <w:rStyle w:val="OperatorTok"/>
        </w:rPr>
        <w:t xml:space="preserve">-</w:t>
      </w:r>
      <w:r>
        <w:rPr>
          <w:rStyle w:val="NormalTok"/>
        </w:rPr>
        <w:t xml:space="preserve">Age)</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(datlong),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'First 5 observations of the converted long format data'</w:t>
      </w:r>
      <w:r>
        <w:rPr>
          <w:rStyle w:val="NormalTok"/>
        </w:rPr>
        <w:t xml:space="preserve">)</w:t>
      </w:r>
    </w:p>
    <w:p>
      <w:pPr>
        <w:pStyle w:val="TableCaption"/>
      </w:pPr>
      <w:r>
        <w:t xml:space="preserve">First 5 observations of the converted long format data</w:t>
      </w:r>
    </w:p>
    <w:tbl>
      <w:tblPr>
        <w:tblStyle w:val="Table"/>
        <w:tblW w:type="pct" w:w="0.0"/>
        <w:tblLook w:firstRow="1"/>
        <w:tblCaption w:val="First 5 observations of the converted long format data"/>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right"/>
            </w:pPr>
            <w:r>
              <w:t xml:space="preserve">Treatment</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seizure_num</w:t>
            </w:r>
          </w:p>
        </w:tc>
        <w:tc>
          <w:tcPr>
            <w:tcBorders>
              <w:bottom w:val="single"/>
            </w:tcBorders>
            <w:vAlign w:val="bottom"/>
          </w:tcPr>
          <w:p>
            <w:pPr>
              <w:pStyle w:val="Compact"/>
              <w:jc w:val="right"/>
            </w:pPr>
            <w:r>
              <w:t xml:space="preserve">seizure</w:t>
            </w:r>
          </w:p>
        </w:tc>
      </w:tr>
      <w:tr>
        <w:tc>
          <w:p>
            <w:pPr>
              <w:pStyle w:val="Compact"/>
              <w:jc w:val="right"/>
            </w:pPr>
            <w:r>
              <w:t xml:space="preserve">1</w:t>
            </w:r>
          </w:p>
        </w:tc>
        <w:tc>
          <w:p>
            <w:pPr>
              <w:pStyle w:val="Compact"/>
              <w:jc w:val="right"/>
            </w:pPr>
            <w:r>
              <w:t xml:space="preserve">0</w:t>
            </w:r>
          </w:p>
        </w:tc>
        <w:tc>
          <w:p>
            <w:pPr>
              <w:pStyle w:val="Compact"/>
              <w:jc w:val="right"/>
            </w:pPr>
            <w:r>
              <w:t xml:space="preserve">31</w:t>
            </w:r>
          </w:p>
        </w:tc>
        <w:tc>
          <w:p>
            <w:pPr>
              <w:pStyle w:val="Compact"/>
              <w:jc w:val="left"/>
            </w:pPr>
            <w:r>
              <w:t xml:space="preserve">seizure1</w:t>
            </w:r>
          </w:p>
        </w:tc>
        <w:tc>
          <w:p>
            <w:pPr>
              <w:pStyle w:val="Compact"/>
              <w:jc w:val="right"/>
            </w:pPr>
            <w:r>
              <w:t xml:space="preserve">11</w:t>
            </w:r>
          </w:p>
        </w:tc>
      </w:tr>
      <w:tr>
        <w:tc>
          <w:p>
            <w:pPr>
              <w:pStyle w:val="Compact"/>
              <w:jc w:val="right"/>
            </w:pPr>
            <w:r>
              <w:t xml:space="preserve">2</w:t>
            </w:r>
          </w:p>
        </w:tc>
        <w:tc>
          <w:p>
            <w:pPr>
              <w:pStyle w:val="Compact"/>
              <w:jc w:val="right"/>
            </w:pPr>
            <w:r>
              <w:t xml:space="preserve">0</w:t>
            </w:r>
          </w:p>
        </w:tc>
        <w:tc>
          <w:p>
            <w:pPr>
              <w:pStyle w:val="Compact"/>
              <w:jc w:val="right"/>
            </w:pPr>
            <w:r>
              <w:t xml:space="preserve">30</w:t>
            </w:r>
          </w:p>
        </w:tc>
        <w:tc>
          <w:p>
            <w:pPr>
              <w:pStyle w:val="Compact"/>
              <w:jc w:val="left"/>
            </w:pPr>
            <w:r>
              <w:t xml:space="preserve">seizure1</w:t>
            </w:r>
          </w:p>
        </w:tc>
        <w:tc>
          <w:p>
            <w:pPr>
              <w:pStyle w:val="Compact"/>
              <w:jc w:val="right"/>
            </w:pPr>
            <w:r>
              <w:t xml:space="preserve">11</w:t>
            </w:r>
          </w:p>
        </w:tc>
      </w:tr>
      <w:tr>
        <w:tc>
          <w:p>
            <w:pPr>
              <w:pStyle w:val="Compact"/>
              <w:jc w:val="right"/>
            </w:pPr>
            <w:r>
              <w:t xml:space="preserve">3</w:t>
            </w:r>
          </w:p>
        </w:tc>
        <w:tc>
          <w:p>
            <w:pPr>
              <w:pStyle w:val="Compact"/>
              <w:jc w:val="right"/>
            </w:pPr>
            <w:r>
              <w:t xml:space="preserve">0</w:t>
            </w:r>
          </w:p>
        </w:tc>
        <w:tc>
          <w:p>
            <w:pPr>
              <w:pStyle w:val="Compact"/>
              <w:jc w:val="right"/>
            </w:pPr>
            <w:r>
              <w:t xml:space="preserve">25</w:t>
            </w:r>
          </w:p>
        </w:tc>
        <w:tc>
          <w:p>
            <w:pPr>
              <w:pStyle w:val="Compact"/>
              <w:jc w:val="left"/>
            </w:pPr>
            <w:r>
              <w:t xml:space="preserve">seizure1</w:t>
            </w:r>
          </w:p>
        </w:tc>
        <w:tc>
          <w:p>
            <w:pPr>
              <w:pStyle w:val="Compact"/>
              <w:jc w:val="right"/>
            </w:pPr>
            <w:r>
              <w:t xml:space="preserve">6</w:t>
            </w:r>
          </w:p>
        </w:tc>
      </w:tr>
      <w:tr>
        <w:tc>
          <w:p>
            <w:pPr>
              <w:pStyle w:val="Compact"/>
              <w:jc w:val="right"/>
            </w:pPr>
            <w:r>
              <w:t xml:space="preserve">4</w:t>
            </w:r>
          </w:p>
        </w:tc>
        <w:tc>
          <w:p>
            <w:pPr>
              <w:pStyle w:val="Compact"/>
              <w:jc w:val="right"/>
            </w:pPr>
            <w:r>
              <w:t xml:space="preserve">0</w:t>
            </w:r>
          </w:p>
        </w:tc>
        <w:tc>
          <w:p>
            <w:pPr>
              <w:pStyle w:val="Compact"/>
              <w:jc w:val="right"/>
            </w:pPr>
            <w:r>
              <w:t xml:space="preserve">36</w:t>
            </w:r>
          </w:p>
        </w:tc>
        <w:tc>
          <w:p>
            <w:pPr>
              <w:pStyle w:val="Compact"/>
              <w:jc w:val="left"/>
            </w:pPr>
            <w:r>
              <w:t xml:space="preserve">seizure1</w:t>
            </w:r>
          </w:p>
        </w:tc>
        <w:tc>
          <w:p>
            <w:pPr>
              <w:pStyle w:val="Compact"/>
              <w:jc w:val="right"/>
            </w:pPr>
            <w:r>
              <w:t xml:space="preserve">8</w:t>
            </w:r>
          </w:p>
        </w:tc>
      </w:tr>
      <w:tr>
        <w:tc>
          <w:p>
            <w:pPr>
              <w:pStyle w:val="Compact"/>
              <w:jc w:val="right"/>
            </w:pPr>
            <w:r>
              <w:t xml:space="preserve">5</w:t>
            </w:r>
          </w:p>
        </w:tc>
        <w:tc>
          <w:p>
            <w:pPr>
              <w:pStyle w:val="Compact"/>
              <w:jc w:val="right"/>
            </w:pPr>
            <w:r>
              <w:t xml:space="preserve">0</w:t>
            </w:r>
          </w:p>
        </w:tc>
        <w:tc>
          <w:p>
            <w:pPr>
              <w:pStyle w:val="Compact"/>
              <w:jc w:val="right"/>
            </w:pPr>
            <w:r>
              <w:t xml:space="preserve">22</w:t>
            </w:r>
          </w:p>
        </w:tc>
        <w:tc>
          <w:p>
            <w:pPr>
              <w:pStyle w:val="Compact"/>
              <w:jc w:val="left"/>
            </w:pPr>
            <w:r>
              <w:t xml:space="preserve">seizure1</w:t>
            </w:r>
          </w:p>
        </w:tc>
        <w:tc>
          <w:p>
            <w:pPr>
              <w:pStyle w:val="Compact"/>
              <w:jc w:val="right"/>
            </w:pPr>
            <w:r>
              <w:t xml:space="preserve">66</w:t>
            </w:r>
          </w:p>
        </w:tc>
      </w:tr>
      <w:tr>
        <w:tc>
          <w:p>
            <w:pPr>
              <w:pStyle w:val="Compact"/>
              <w:jc w:val="right"/>
            </w:pPr>
            <w:r>
              <w:t xml:space="preserve">6</w:t>
            </w:r>
          </w:p>
        </w:tc>
        <w:tc>
          <w:p>
            <w:pPr>
              <w:pStyle w:val="Compact"/>
              <w:jc w:val="right"/>
            </w:pPr>
            <w:r>
              <w:t xml:space="preserve">0</w:t>
            </w:r>
          </w:p>
        </w:tc>
        <w:tc>
          <w:p>
            <w:pPr>
              <w:pStyle w:val="Compact"/>
              <w:jc w:val="right"/>
            </w:pPr>
            <w:r>
              <w:t xml:space="preserve">29</w:t>
            </w:r>
          </w:p>
        </w:tc>
        <w:tc>
          <w:p>
            <w:pPr>
              <w:pStyle w:val="Compact"/>
              <w:jc w:val="left"/>
            </w:pPr>
            <w:r>
              <w:t xml:space="preserve">seizure1</w:t>
            </w:r>
          </w:p>
        </w:tc>
        <w:tc>
          <w:p>
            <w:pPr>
              <w:pStyle w:val="Compact"/>
              <w:jc w:val="right"/>
            </w:pPr>
            <w:r>
              <w:t xml:space="preserve">27</w:t>
            </w:r>
          </w:p>
        </w:tc>
      </w:tr>
    </w:tbl>
    <w:p>
      <w:pPr>
        <w:pStyle w:val="Compact"/>
        <w:numPr>
          <w:numId w:val="1003"/>
          <w:ilvl w:val="0"/>
        </w:numPr>
      </w:pPr>
      <w:r>
        <w:t xml:space="preserve">Graphics on the association between the number of seizures and week</w:t>
      </w:r>
    </w:p>
    <w:p>
      <w:pPr>
        <w:pStyle w:val="SourceCode"/>
      </w:pPr>
      <w:r>
        <w:rPr>
          <w:rStyle w:val="NormalTok"/>
        </w:rPr>
        <w:t xml:space="preserve">datlong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(seizure_num, seizure))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4_Miao_Cai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mailto:miao.cai@slu.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miao.cai@sl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 Miao Cai</dc:title>
  <dc:creator>Miao Cai miao.cai@slu.edu</dc:creator>
  <cp:keywords/>
  <dcterms:created xsi:type="dcterms:W3CDTF">2019-03-04T19:42:29Z</dcterms:created>
  <dcterms:modified xsi:type="dcterms:W3CDTF">2019-03-04T19:42:29Z</dcterms:modified>
</cp:coreProperties>
</file>