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set was published in 1991 (</w:t>
      </w:r>
      <w:r w:rsidRPr="005A310F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</w:rPr>
        <w:t>Semi-parametric and non-parametric methods for the analysis of repeated measurements with applications to clinical trials. Statistics in Medicine 10, 1959–1980.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) from a study on the impact of different doses of an anesthetic from 60 children. As soon as the children enter the anesthetic recovery room after a surgery their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measured followed by three further measurements after 5, 15 and 30 minutes (“time”). The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given on a spectrum ranging from 0 (sleeping) to 6 (awake). For each child the categorical influence variable “Dose” (dosage of the anesthetic; 15, 20, 25 or 30 mg/kg) as well as the metric influence variables “Age” (in months) and “Duration of the surgery” (in minutes) have been observed.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“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hw6p2_data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given on the blackboard.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You may want to re-code the time variable as 0, 1, 3 and 6.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Questions: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Treat the outcome variable as 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ordinal,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use the Laplace estimation method to build a two-level logistic model for these data. Because all variables are of interest, they should be kept in the final model regardless of their statistical significance. Interpret significant effects.</w:t>
      </w:r>
    </w:p>
    <w:p w:rsidR="005A310F" w:rsidRPr="005A310F" w:rsidRDefault="005A310F" w:rsidP="005A310F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5A310F">
          <w:rPr>
            <w:rFonts w:ascii="Helvetica Neue" w:eastAsia="Times New Roman" w:hAnsi="Helvetica Neue" w:cs="Times New Roman"/>
            <w:color w:val="00748B"/>
            <w:sz w:val="19"/>
            <w:szCs w:val="19"/>
            <w:u w:val="single"/>
            <w:bdr w:val="none" w:sz="0" w:space="0" w:color="auto" w:frame="1"/>
            <w:shd w:val="clear" w:color="auto" w:fill="FFFFFF"/>
          </w:rPr>
          <w:t>hw6_p2data.sas7bdat</w:t>
        </w:r>
      </w:hyperlink>
    </w:p>
    <w:p w:rsidR="009E4DB0" w:rsidRDefault="005A310F">
      <w:bookmarkStart w:id="0" w:name="_GoBack"/>
      <w:bookmarkEnd w:id="0"/>
    </w:p>
    <w:sectPr w:rsidR="009E4DB0" w:rsidSect="0042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0F"/>
    <w:rsid w:val="00424955"/>
    <w:rsid w:val="00542096"/>
    <w:rsid w:val="005A310F"/>
    <w:rsid w:val="008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594E-D75C-894A-B562-32B6F5D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1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3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ckboard.slu.edu/bbcswebdav/pid-3315623-dt-content-rid-15016551_1/xid-1501655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1</cp:revision>
  <dcterms:created xsi:type="dcterms:W3CDTF">2019-04-08T18:27:00Z</dcterms:created>
  <dcterms:modified xsi:type="dcterms:W3CDTF">2019-04-08T18:27:00Z</dcterms:modified>
</cp:coreProperties>
</file>