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76B4" w14:textId="77777777" w:rsidR="006A5B0F" w:rsidRDefault="0049300E" w:rsidP="0049300E">
      <w:pPr>
        <w:jc w:val="center"/>
        <w:rPr>
          <w:b/>
          <w:sz w:val="48"/>
        </w:rPr>
      </w:pPr>
      <w:r w:rsidRPr="0049300E">
        <w:rPr>
          <w:b/>
          <w:sz w:val="48"/>
        </w:rPr>
        <w:t>LID-DS Report 11/22</w:t>
      </w:r>
    </w:p>
    <w:p w14:paraId="6531DF4F" w14:textId="77777777" w:rsidR="0049300E" w:rsidRDefault="0049300E" w:rsidP="0049300E">
      <w:pPr>
        <w:jc w:val="left"/>
        <w:rPr>
          <w:rStyle w:val="notion-enable-hover"/>
          <w:b/>
          <w:bCs/>
          <w:sz w:val="24"/>
        </w:rPr>
      </w:pPr>
      <w:r w:rsidRPr="0049300E">
        <w:rPr>
          <w:rStyle w:val="notion-enable-hover"/>
          <w:b/>
          <w:bCs/>
          <w:sz w:val="24"/>
        </w:rPr>
        <w:t>LID-DS Dataset 설명</w:t>
      </w:r>
    </w:p>
    <w:p w14:paraId="4550C6B8" w14:textId="77777777" w:rsidR="0049300E" w:rsidRDefault="0049300E" w:rsidP="0049300E">
      <w:pPr>
        <w:jc w:val="left"/>
      </w:pPr>
      <w:r>
        <w:t>LID-DS는 호스트 기반 침입 탐지(Host Based Intrusion Detection System, HIDS) 데이터 셋으로 Ubuntu 18.04버전에서 기록이 된 데이터이다. Attack Type은 15가지가 있으며, 각 공격 유형별로 시나리오 폴더가 존재하고, 폴더안의 .</w:t>
      </w:r>
      <w:proofErr w:type="spellStart"/>
      <w:r>
        <w:t>sc</w:t>
      </w:r>
      <w:proofErr w:type="spellEnd"/>
      <w:r>
        <w:t>파일을 통해 로그를 확인 가능하다. 이번 연구에서는 데이터의 크기로 인하여 ‘Bruteforce_CWE-309’, ‘CVE-2014-0160’ 2가지 공격에 대해서만 이상탐지를 진행하였다.</w:t>
      </w:r>
    </w:p>
    <w:p w14:paraId="46E465B2" w14:textId="77777777" w:rsidR="007F3728" w:rsidRDefault="007F3728" w:rsidP="007F3728">
      <w:pPr>
        <w:pStyle w:val="a9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Dataset</w:t>
      </w:r>
      <w:r>
        <w:t xml:space="preserve"> </w:t>
      </w:r>
      <w:r>
        <w:rPr>
          <w:rFonts w:hint="eastAsia"/>
        </w:rPr>
        <w:t>Information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6"/>
        <w:gridCol w:w="1456"/>
        <w:gridCol w:w="1456"/>
        <w:gridCol w:w="1456"/>
        <w:gridCol w:w="1456"/>
        <w:gridCol w:w="1456"/>
      </w:tblGrid>
      <w:tr w:rsidR="009D0C9A" w14:paraId="0CBAA48E" w14:textId="77777777" w:rsidTr="003D0AAF">
        <w:tc>
          <w:tcPr>
            <w:tcW w:w="1736" w:type="dxa"/>
            <w:vAlign w:val="center"/>
          </w:tcPr>
          <w:p w14:paraId="431E4A3C" w14:textId="77777777" w:rsidR="009D0C9A" w:rsidRDefault="009D0C9A" w:rsidP="009D0C9A">
            <w:pPr>
              <w:widowControl/>
              <w:wordWrap/>
              <w:autoSpaceDE/>
              <w:autoSpaceDN/>
            </w:pPr>
            <w:r>
              <w:t>Attack Type</w:t>
            </w:r>
          </w:p>
        </w:tc>
        <w:tc>
          <w:tcPr>
            <w:tcW w:w="1456" w:type="dxa"/>
            <w:vAlign w:val="center"/>
          </w:tcPr>
          <w:p w14:paraId="7C12C133" w14:textId="77777777" w:rsidR="009D0C9A" w:rsidRDefault="009D0C9A" w:rsidP="009D0C9A">
            <w:pPr>
              <w:widowControl/>
              <w:wordWrap/>
              <w:autoSpaceDE/>
              <w:autoSpaceDN/>
            </w:pPr>
            <w:r>
              <w:t>Train Scenario</w:t>
            </w:r>
          </w:p>
        </w:tc>
        <w:tc>
          <w:tcPr>
            <w:tcW w:w="1456" w:type="dxa"/>
            <w:vAlign w:val="center"/>
          </w:tcPr>
          <w:p w14:paraId="768AC6D2" w14:textId="77777777" w:rsidR="009D0C9A" w:rsidRDefault="009D0C9A" w:rsidP="009D0C9A">
            <w:pPr>
              <w:widowControl/>
              <w:wordWrap/>
              <w:autoSpaceDE/>
              <w:autoSpaceDN/>
            </w:pPr>
            <w:r>
              <w:t>Validation Scenario</w:t>
            </w:r>
          </w:p>
        </w:tc>
        <w:tc>
          <w:tcPr>
            <w:tcW w:w="1456" w:type="dxa"/>
            <w:vAlign w:val="center"/>
          </w:tcPr>
          <w:p w14:paraId="44FA6BE3" w14:textId="77777777" w:rsidR="009D0C9A" w:rsidRDefault="009D0C9A" w:rsidP="009D0C9A">
            <w:pPr>
              <w:widowControl/>
              <w:wordWrap/>
              <w:autoSpaceDE/>
              <w:autoSpaceDN/>
            </w:pPr>
            <w:r>
              <w:t>Test Scenario (Contain Attack)</w:t>
            </w:r>
          </w:p>
        </w:tc>
        <w:tc>
          <w:tcPr>
            <w:tcW w:w="1456" w:type="dxa"/>
            <w:vAlign w:val="center"/>
          </w:tcPr>
          <w:p w14:paraId="5609B835" w14:textId="77777777" w:rsidR="009D0C9A" w:rsidRDefault="009D0C9A" w:rsidP="009D0C9A">
            <w:pPr>
              <w:widowControl/>
              <w:wordWrap/>
              <w:autoSpaceDE/>
              <w:autoSpaceDN/>
            </w:pPr>
            <w:r>
              <w:t>Test Scenario (Only Normal)</w:t>
            </w:r>
          </w:p>
        </w:tc>
        <w:tc>
          <w:tcPr>
            <w:tcW w:w="1456" w:type="dxa"/>
            <w:vAlign w:val="center"/>
          </w:tcPr>
          <w:p w14:paraId="4DECB3CD" w14:textId="77777777" w:rsidR="009D0C9A" w:rsidRDefault="009D0C9A" w:rsidP="009D0C9A">
            <w:pPr>
              <w:widowControl/>
              <w:wordWrap/>
              <w:autoSpaceDE/>
              <w:autoSpaceDN/>
            </w:pPr>
            <w:proofErr w:type="spellStart"/>
            <w:r>
              <w:t>DataSize</w:t>
            </w:r>
            <w:proofErr w:type="spellEnd"/>
            <w:r>
              <w:t xml:space="preserve"> (</w:t>
            </w:r>
            <w:proofErr w:type="spellStart"/>
            <w:r>
              <w:t>모든파일</w:t>
            </w:r>
            <w:proofErr w:type="spellEnd"/>
            <w:r>
              <w:t xml:space="preserve"> 압축되어 있음)</w:t>
            </w:r>
          </w:p>
        </w:tc>
      </w:tr>
      <w:tr w:rsidR="009D0C9A" w14:paraId="745E9ACD" w14:textId="77777777" w:rsidTr="003D0AAF">
        <w:tc>
          <w:tcPr>
            <w:tcW w:w="1736" w:type="dxa"/>
            <w:vAlign w:val="center"/>
          </w:tcPr>
          <w:p w14:paraId="6F479055" w14:textId="77777777" w:rsidR="009D0C9A" w:rsidRDefault="009D0C9A" w:rsidP="009D0C9A">
            <w:r>
              <w:t>Bruteforce_CWE-309</w:t>
            </w:r>
          </w:p>
        </w:tc>
        <w:tc>
          <w:tcPr>
            <w:tcW w:w="1456" w:type="dxa"/>
            <w:vAlign w:val="center"/>
          </w:tcPr>
          <w:p w14:paraId="2779084A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693FB8A6" w14:textId="77777777" w:rsidR="009D0C9A" w:rsidRDefault="009D0C9A" w:rsidP="009D0C9A">
            <w:r>
              <w:t>60</w:t>
            </w:r>
          </w:p>
        </w:tc>
        <w:tc>
          <w:tcPr>
            <w:tcW w:w="1456" w:type="dxa"/>
            <w:vAlign w:val="center"/>
          </w:tcPr>
          <w:p w14:paraId="4C9BBA3B" w14:textId="77777777" w:rsidR="009D0C9A" w:rsidRDefault="009D0C9A" w:rsidP="009D0C9A">
            <w:r>
              <w:t>139</w:t>
            </w:r>
          </w:p>
        </w:tc>
        <w:tc>
          <w:tcPr>
            <w:tcW w:w="1456" w:type="dxa"/>
            <w:vAlign w:val="center"/>
          </w:tcPr>
          <w:p w14:paraId="0D4441ED" w14:textId="77777777" w:rsidR="009D0C9A" w:rsidRDefault="009D0C9A" w:rsidP="009D0C9A">
            <w:r>
              <w:t>768</w:t>
            </w:r>
          </w:p>
        </w:tc>
        <w:tc>
          <w:tcPr>
            <w:tcW w:w="1456" w:type="dxa"/>
            <w:vAlign w:val="center"/>
          </w:tcPr>
          <w:p w14:paraId="0EA1E86F" w14:textId="77777777" w:rsidR="009D0C9A" w:rsidRDefault="009D0C9A" w:rsidP="009D0C9A">
            <w:r>
              <w:t>1.3GB</w:t>
            </w:r>
          </w:p>
        </w:tc>
      </w:tr>
      <w:tr w:rsidR="009D0C9A" w14:paraId="30DFBA7B" w14:textId="77777777" w:rsidTr="003D0AAF">
        <w:tc>
          <w:tcPr>
            <w:tcW w:w="1736" w:type="dxa"/>
            <w:vAlign w:val="center"/>
          </w:tcPr>
          <w:p w14:paraId="6C659851" w14:textId="77777777" w:rsidR="009D0C9A" w:rsidRDefault="009D0C9A" w:rsidP="009D0C9A">
            <w:r>
              <w:t>CVE-2012-2122</w:t>
            </w:r>
          </w:p>
        </w:tc>
        <w:tc>
          <w:tcPr>
            <w:tcW w:w="1456" w:type="dxa"/>
            <w:vAlign w:val="center"/>
          </w:tcPr>
          <w:p w14:paraId="1091405B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2F5EB050" w14:textId="77777777" w:rsidR="009D0C9A" w:rsidRDefault="009D0C9A" w:rsidP="009D0C9A">
            <w:r>
              <w:t>60</w:t>
            </w:r>
          </w:p>
        </w:tc>
        <w:tc>
          <w:tcPr>
            <w:tcW w:w="1456" w:type="dxa"/>
            <w:vAlign w:val="center"/>
          </w:tcPr>
          <w:p w14:paraId="5E9EAAF4" w14:textId="77777777" w:rsidR="009D0C9A" w:rsidRDefault="009D0C9A" w:rsidP="009D0C9A">
            <w:r>
              <w:t>120</w:t>
            </w:r>
          </w:p>
        </w:tc>
        <w:tc>
          <w:tcPr>
            <w:tcW w:w="1456" w:type="dxa"/>
            <w:vAlign w:val="center"/>
          </w:tcPr>
          <w:p w14:paraId="08112DD5" w14:textId="77777777" w:rsidR="009D0C9A" w:rsidRDefault="009D0C9A" w:rsidP="009D0C9A">
            <w:r>
              <w:t>762</w:t>
            </w:r>
          </w:p>
        </w:tc>
        <w:tc>
          <w:tcPr>
            <w:tcW w:w="1456" w:type="dxa"/>
            <w:vAlign w:val="center"/>
          </w:tcPr>
          <w:p w14:paraId="1617FA08" w14:textId="77777777" w:rsidR="009D0C9A" w:rsidRDefault="009D0C9A" w:rsidP="009D0C9A">
            <w:r>
              <w:t>0.69GB</w:t>
            </w:r>
          </w:p>
        </w:tc>
      </w:tr>
      <w:tr w:rsidR="009D0C9A" w14:paraId="6D2DDF2E" w14:textId="77777777" w:rsidTr="003D0AAF">
        <w:tc>
          <w:tcPr>
            <w:tcW w:w="1736" w:type="dxa"/>
            <w:vAlign w:val="center"/>
          </w:tcPr>
          <w:p w14:paraId="1201D5A8" w14:textId="77777777" w:rsidR="009D0C9A" w:rsidRDefault="009D0C9A" w:rsidP="009D0C9A">
            <w:r>
              <w:t>CVE-2014-0160</w:t>
            </w:r>
          </w:p>
        </w:tc>
        <w:tc>
          <w:tcPr>
            <w:tcW w:w="1456" w:type="dxa"/>
            <w:vAlign w:val="center"/>
          </w:tcPr>
          <w:p w14:paraId="6B6E40C1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7FB72B30" w14:textId="77777777" w:rsidR="009D0C9A" w:rsidRDefault="009D0C9A" w:rsidP="009D0C9A">
            <w:r>
              <w:t>60</w:t>
            </w:r>
          </w:p>
        </w:tc>
        <w:tc>
          <w:tcPr>
            <w:tcW w:w="1456" w:type="dxa"/>
            <w:vAlign w:val="center"/>
          </w:tcPr>
          <w:p w14:paraId="3100D30A" w14:textId="77777777" w:rsidR="009D0C9A" w:rsidRDefault="009D0C9A" w:rsidP="009D0C9A">
            <w:r>
              <w:t>120</w:t>
            </w:r>
          </w:p>
        </w:tc>
        <w:tc>
          <w:tcPr>
            <w:tcW w:w="1456" w:type="dxa"/>
            <w:vAlign w:val="center"/>
          </w:tcPr>
          <w:p w14:paraId="07ACF131" w14:textId="77777777" w:rsidR="009D0C9A" w:rsidRDefault="009D0C9A" w:rsidP="009D0C9A">
            <w:r>
              <w:t>758</w:t>
            </w:r>
          </w:p>
        </w:tc>
        <w:tc>
          <w:tcPr>
            <w:tcW w:w="1456" w:type="dxa"/>
            <w:vAlign w:val="center"/>
          </w:tcPr>
          <w:p w14:paraId="10AD8E04" w14:textId="77777777" w:rsidR="009D0C9A" w:rsidRDefault="009D0C9A" w:rsidP="009D0C9A">
            <w:r>
              <w:t>0.39GB</w:t>
            </w:r>
          </w:p>
        </w:tc>
      </w:tr>
      <w:tr w:rsidR="009D0C9A" w14:paraId="63AB76C6" w14:textId="77777777" w:rsidTr="003D0AAF">
        <w:tc>
          <w:tcPr>
            <w:tcW w:w="1736" w:type="dxa"/>
            <w:vAlign w:val="center"/>
          </w:tcPr>
          <w:p w14:paraId="13D7DC9A" w14:textId="77777777" w:rsidR="009D0C9A" w:rsidRDefault="009D0C9A" w:rsidP="009D0C9A">
            <w:r>
              <w:t>CVE-2017-7529</w:t>
            </w:r>
          </w:p>
        </w:tc>
        <w:tc>
          <w:tcPr>
            <w:tcW w:w="1456" w:type="dxa"/>
            <w:vAlign w:val="center"/>
          </w:tcPr>
          <w:p w14:paraId="5B36C135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5E9EF01C" w14:textId="77777777" w:rsidR="009D0C9A" w:rsidRDefault="009D0C9A" w:rsidP="009D0C9A">
            <w:r>
              <w:t>52</w:t>
            </w:r>
          </w:p>
        </w:tc>
        <w:tc>
          <w:tcPr>
            <w:tcW w:w="1456" w:type="dxa"/>
            <w:vAlign w:val="center"/>
          </w:tcPr>
          <w:p w14:paraId="126E448E" w14:textId="77777777" w:rsidR="009D0C9A" w:rsidRDefault="009D0C9A" w:rsidP="009D0C9A">
            <w:r>
              <w:t>119</w:t>
            </w:r>
          </w:p>
        </w:tc>
        <w:tc>
          <w:tcPr>
            <w:tcW w:w="1456" w:type="dxa"/>
            <w:vAlign w:val="center"/>
          </w:tcPr>
          <w:p w14:paraId="2B48C205" w14:textId="77777777" w:rsidR="009D0C9A" w:rsidRDefault="009D0C9A" w:rsidP="009D0C9A">
            <w:r>
              <w:t>729</w:t>
            </w:r>
          </w:p>
        </w:tc>
        <w:tc>
          <w:tcPr>
            <w:tcW w:w="1456" w:type="dxa"/>
            <w:vAlign w:val="center"/>
          </w:tcPr>
          <w:p w14:paraId="214809C4" w14:textId="77777777" w:rsidR="009D0C9A" w:rsidRDefault="009D0C9A" w:rsidP="009D0C9A">
            <w:r>
              <w:t>5.7GB</w:t>
            </w:r>
          </w:p>
        </w:tc>
      </w:tr>
      <w:tr w:rsidR="009D0C9A" w14:paraId="4A7663C4" w14:textId="77777777" w:rsidTr="003D0AAF">
        <w:tc>
          <w:tcPr>
            <w:tcW w:w="1736" w:type="dxa"/>
            <w:vAlign w:val="center"/>
          </w:tcPr>
          <w:p w14:paraId="43F86A36" w14:textId="77777777" w:rsidR="009D0C9A" w:rsidRDefault="009D0C9A" w:rsidP="009D0C9A">
            <w:r>
              <w:t>CVE-2017-12635_6</w:t>
            </w:r>
          </w:p>
        </w:tc>
        <w:tc>
          <w:tcPr>
            <w:tcW w:w="1456" w:type="dxa"/>
            <w:vAlign w:val="center"/>
          </w:tcPr>
          <w:p w14:paraId="2C0F831E" w14:textId="77777777" w:rsidR="009D0C9A" w:rsidRDefault="009D0C9A" w:rsidP="009D0C9A">
            <w:r>
              <w:t>208</w:t>
            </w:r>
          </w:p>
        </w:tc>
        <w:tc>
          <w:tcPr>
            <w:tcW w:w="1456" w:type="dxa"/>
            <w:vAlign w:val="center"/>
          </w:tcPr>
          <w:p w14:paraId="6A25E625" w14:textId="77777777" w:rsidR="009D0C9A" w:rsidRDefault="009D0C9A" w:rsidP="009D0C9A">
            <w:r>
              <w:t>58</w:t>
            </w:r>
          </w:p>
        </w:tc>
        <w:tc>
          <w:tcPr>
            <w:tcW w:w="1456" w:type="dxa"/>
            <w:vAlign w:val="center"/>
          </w:tcPr>
          <w:p w14:paraId="4AFB07E3" w14:textId="77777777" w:rsidR="009D0C9A" w:rsidRDefault="009D0C9A" w:rsidP="009D0C9A">
            <w:r>
              <w:t>119</w:t>
            </w:r>
          </w:p>
        </w:tc>
        <w:tc>
          <w:tcPr>
            <w:tcW w:w="1456" w:type="dxa"/>
            <w:vAlign w:val="center"/>
          </w:tcPr>
          <w:p w14:paraId="1B6A5F44" w14:textId="77777777" w:rsidR="009D0C9A" w:rsidRDefault="009D0C9A" w:rsidP="009D0C9A">
            <w:r>
              <w:t>753</w:t>
            </w:r>
          </w:p>
        </w:tc>
        <w:tc>
          <w:tcPr>
            <w:tcW w:w="1456" w:type="dxa"/>
            <w:vAlign w:val="center"/>
          </w:tcPr>
          <w:p w14:paraId="5AD57856" w14:textId="77777777" w:rsidR="009D0C9A" w:rsidRDefault="009D0C9A" w:rsidP="009D0C9A">
            <w:r>
              <w:t>12.6GB</w:t>
            </w:r>
          </w:p>
        </w:tc>
      </w:tr>
      <w:tr w:rsidR="009D0C9A" w14:paraId="5967080E" w14:textId="77777777" w:rsidTr="003D0AAF">
        <w:tc>
          <w:tcPr>
            <w:tcW w:w="1736" w:type="dxa"/>
            <w:vAlign w:val="center"/>
          </w:tcPr>
          <w:p w14:paraId="3ADE3EF4" w14:textId="77777777" w:rsidR="009D0C9A" w:rsidRDefault="009D0C9A" w:rsidP="009D0C9A">
            <w:r>
              <w:t>CVE-2018-3760</w:t>
            </w:r>
          </w:p>
        </w:tc>
        <w:tc>
          <w:tcPr>
            <w:tcW w:w="1456" w:type="dxa"/>
            <w:vAlign w:val="center"/>
          </w:tcPr>
          <w:p w14:paraId="7B21EDEE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5FB1B4C0" w14:textId="77777777" w:rsidR="009D0C9A" w:rsidRDefault="009D0C9A" w:rsidP="009D0C9A">
            <w:r>
              <w:t>60</w:t>
            </w:r>
          </w:p>
        </w:tc>
        <w:tc>
          <w:tcPr>
            <w:tcW w:w="1456" w:type="dxa"/>
            <w:vAlign w:val="center"/>
          </w:tcPr>
          <w:p w14:paraId="3F701C2A" w14:textId="77777777" w:rsidR="009D0C9A" w:rsidRDefault="009D0C9A" w:rsidP="009D0C9A">
            <w:r>
              <w:t>122</w:t>
            </w:r>
          </w:p>
        </w:tc>
        <w:tc>
          <w:tcPr>
            <w:tcW w:w="1456" w:type="dxa"/>
            <w:vAlign w:val="center"/>
          </w:tcPr>
          <w:p w14:paraId="4AF55F1C" w14:textId="77777777" w:rsidR="009D0C9A" w:rsidRDefault="009D0C9A" w:rsidP="009D0C9A">
            <w:r>
              <w:t>737</w:t>
            </w:r>
          </w:p>
        </w:tc>
        <w:tc>
          <w:tcPr>
            <w:tcW w:w="1456" w:type="dxa"/>
            <w:vAlign w:val="center"/>
          </w:tcPr>
          <w:p w14:paraId="424E8592" w14:textId="77777777" w:rsidR="009D0C9A" w:rsidRDefault="009D0C9A" w:rsidP="009D0C9A">
            <w:r>
              <w:t>4GB</w:t>
            </w:r>
          </w:p>
        </w:tc>
      </w:tr>
      <w:tr w:rsidR="009D0C9A" w14:paraId="016F22CA" w14:textId="77777777" w:rsidTr="003D0AAF">
        <w:tc>
          <w:tcPr>
            <w:tcW w:w="1736" w:type="dxa"/>
            <w:vAlign w:val="center"/>
          </w:tcPr>
          <w:p w14:paraId="60ACEF01" w14:textId="77777777" w:rsidR="009D0C9A" w:rsidRDefault="009D0C9A" w:rsidP="009D0C9A">
            <w:r>
              <w:t>CVE-2019-5418</w:t>
            </w:r>
          </w:p>
        </w:tc>
        <w:tc>
          <w:tcPr>
            <w:tcW w:w="1456" w:type="dxa"/>
            <w:vAlign w:val="center"/>
          </w:tcPr>
          <w:p w14:paraId="6559E51C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44B744A7" w14:textId="77777777" w:rsidR="009D0C9A" w:rsidRDefault="009D0C9A" w:rsidP="009D0C9A">
            <w:r>
              <w:t>60</w:t>
            </w:r>
          </w:p>
        </w:tc>
        <w:tc>
          <w:tcPr>
            <w:tcW w:w="1456" w:type="dxa"/>
            <w:vAlign w:val="center"/>
          </w:tcPr>
          <w:p w14:paraId="45D1A092" w14:textId="77777777" w:rsidR="009D0C9A" w:rsidRDefault="009D0C9A" w:rsidP="009D0C9A">
            <w:r>
              <w:t>120</w:t>
            </w:r>
          </w:p>
        </w:tc>
        <w:tc>
          <w:tcPr>
            <w:tcW w:w="1456" w:type="dxa"/>
            <w:vAlign w:val="center"/>
          </w:tcPr>
          <w:p w14:paraId="1609DC14" w14:textId="77777777" w:rsidR="009D0C9A" w:rsidRDefault="009D0C9A" w:rsidP="009D0C9A">
            <w:r>
              <w:t>760</w:t>
            </w:r>
          </w:p>
        </w:tc>
        <w:tc>
          <w:tcPr>
            <w:tcW w:w="1456" w:type="dxa"/>
            <w:vAlign w:val="center"/>
          </w:tcPr>
          <w:p w14:paraId="134CB958" w14:textId="77777777" w:rsidR="009D0C9A" w:rsidRDefault="009D0C9A" w:rsidP="009D0C9A">
            <w:r>
              <w:t>7.3GB</w:t>
            </w:r>
          </w:p>
        </w:tc>
      </w:tr>
      <w:tr w:rsidR="009D0C9A" w14:paraId="69D68F55" w14:textId="77777777" w:rsidTr="003D0AAF">
        <w:tc>
          <w:tcPr>
            <w:tcW w:w="1736" w:type="dxa"/>
            <w:vAlign w:val="center"/>
          </w:tcPr>
          <w:p w14:paraId="1F964D3E" w14:textId="77777777" w:rsidR="009D0C9A" w:rsidRDefault="009D0C9A" w:rsidP="009D0C9A">
            <w:r>
              <w:t>CVE-2020-9484</w:t>
            </w:r>
          </w:p>
        </w:tc>
        <w:tc>
          <w:tcPr>
            <w:tcW w:w="1456" w:type="dxa"/>
            <w:vAlign w:val="center"/>
          </w:tcPr>
          <w:p w14:paraId="641DFD4B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6D8B0D4F" w14:textId="77777777" w:rsidR="009D0C9A" w:rsidRDefault="009D0C9A" w:rsidP="009D0C9A">
            <w:r>
              <w:t>60</w:t>
            </w:r>
          </w:p>
        </w:tc>
        <w:tc>
          <w:tcPr>
            <w:tcW w:w="1456" w:type="dxa"/>
            <w:vAlign w:val="center"/>
          </w:tcPr>
          <w:p w14:paraId="0A8A76CE" w14:textId="77777777" w:rsidR="009D0C9A" w:rsidRDefault="009D0C9A" w:rsidP="009D0C9A">
            <w:r>
              <w:t>120</w:t>
            </w:r>
          </w:p>
        </w:tc>
        <w:tc>
          <w:tcPr>
            <w:tcW w:w="1456" w:type="dxa"/>
            <w:vAlign w:val="center"/>
          </w:tcPr>
          <w:p w14:paraId="7CFC6DE9" w14:textId="77777777" w:rsidR="009D0C9A" w:rsidRDefault="009D0C9A" w:rsidP="009D0C9A">
            <w:r>
              <w:t>759</w:t>
            </w:r>
          </w:p>
        </w:tc>
        <w:tc>
          <w:tcPr>
            <w:tcW w:w="1456" w:type="dxa"/>
            <w:vAlign w:val="center"/>
          </w:tcPr>
          <w:p w14:paraId="7B1182DF" w14:textId="77777777" w:rsidR="009D0C9A" w:rsidRDefault="009D0C9A" w:rsidP="009D0C9A">
            <w:r>
              <w:t>5.2GB</w:t>
            </w:r>
          </w:p>
        </w:tc>
      </w:tr>
      <w:tr w:rsidR="009D0C9A" w14:paraId="108786BB" w14:textId="77777777" w:rsidTr="003D0AAF">
        <w:tc>
          <w:tcPr>
            <w:tcW w:w="1736" w:type="dxa"/>
            <w:vAlign w:val="center"/>
          </w:tcPr>
          <w:p w14:paraId="6745A67D" w14:textId="77777777" w:rsidR="009D0C9A" w:rsidRDefault="009D0C9A" w:rsidP="009D0C9A">
            <w:r>
              <w:t>CVE-2020-13942</w:t>
            </w:r>
          </w:p>
        </w:tc>
        <w:tc>
          <w:tcPr>
            <w:tcW w:w="1456" w:type="dxa"/>
            <w:vAlign w:val="center"/>
          </w:tcPr>
          <w:p w14:paraId="7610F7DA" w14:textId="77777777" w:rsidR="009D0C9A" w:rsidRDefault="009D0C9A" w:rsidP="009D0C9A">
            <w:r>
              <w:t>211</w:t>
            </w:r>
          </w:p>
        </w:tc>
        <w:tc>
          <w:tcPr>
            <w:tcW w:w="1456" w:type="dxa"/>
            <w:vAlign w:val="center"/>
          </w:tcPr>
          <w:p w14:paraId="04015C5C" w14:textId="77777777" w:rsidR="009D0C9A" w:rsidRDefault="009D0C9A" w:rsidP="009D0C9A">
            <w:r>
              <w:t>60</w:t>
            </w:r>
          </w:p>
        </w:tc>
        <w:tc>
          <w:tcPr>
            <w:tcW w:w="1456" w:type="dxa"/>
            <w:vAlign w:val="center"/>
          </w:tcPr>
          <w:p w14:paraId="4340FA22" w14:textId="77777777" w:rsidR="009D0C9A" w:rsidRDefault="009D0C9A" w:rsidP="009D0C9A">
            <w:r>
              <w:t>118</w:t>
            </w:r>
          </w:p>
        </w:tc>
        <w:tc>
          <w:tcPr>
            <w:tcW w:w="1456" w:type="dxa"/>
            <w:vAlign w:val="center"/>
          </w:tcPr>
          <w:p w14:paraId="2EC8B37C" w14:textId="77777777" w:rsidR="009D0C9A" w:rsidRDefault="009D0C9A" w:rsidP="009D0C9A">
            <w:r>
              <w:t>756</w:t>
            </w:r>
          </w:p>
        </w:tc>
        <w:tc>
          <w:tcPr>
            <w:tcW w:w="1456" w:type="dxa"/>
            <w:vAlign w:val="center"/>
          </w:tcPr>
          <w:p w14:paraId="649A5A4F" w14:textId="77777777" w:rsidR="009D0C9A" w:rsidRDefault="009D0C9A" w:rsidP="009D0C9A">
            <w:r>
              <w:t>15.3GB</w:t>
            </w:r>
          </w:p>
        </w:tc>
      </w:tr>
      <w:tr w:rsidR="009D0C9A" w14:paraId="7A071A95" w14:textId="77777777" w:rsidTr="003D0AAF">
        <w:tc>
          <w:tcPr>
            <w:tcW w:w="1736" w:type="dxa"/>
            <w:vAlign w:val="center"/>
          </w:tcPr>
          <w:p w14:paraId="3A487B57" w14:textId="77777777" w:rsidR="009D0C9A" w:rsidRDefault="009D0C9A" w:rsidP="009D0C9A">
            <w:r>
              <w:t>CVE-2020-23839</w:t>
            </w:r>
          </w:p>
        </w:tc>
        <w:tc>
          <w:tcPr>
            <w:tcW w:w="1456" w:type="dxa"/>
            <w:vAlign w:val="center"/>
          </w:tcPr>
          <w:p w14:paraId="09B0966B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56874A3B" w14:textId="77777777" w:rsidR="009D0C9A" w:rsidRDefault="009D0C9A" w:rsidP="009D0C9A">
            <w:r>
              <w:t>57</w:t>
            </w:r>
          </w:p>
        </w:tc>
        <w:tc>
          <w:tcPr>
            <w:tcW w:w="1456" w:type="dxa"/>
            <w:vAlign w:val="center"/>
          </w:tcPr>
          <w:p w14:paraId="1F379E97" w14:textId="77777777" w:rsidR="009D0C9A" w:rsidRDefault="009D0C9A" w:rsidP="009D0C9A">
            <w:r>
              <w:t>120</w:t>
            </w:r>
          </w:p>
        </w:tc>
        <w:tc>
          <w:tcPr>
            <w:tcW w:w="1456" w:type="dxa"/>
            <w:vAlign w:val="center"/>
          </w:tcPr>
          <w:p w14:paraId="33CBC293" w14:textId="77777777" w:rsidR="009D0C9A" w:rsidRDefault="009D0C9A" w:rsidP="009D0C9A">
            <w:r>
              <w:t>760</w:t>
            </w:r>
          </w:p>
        </w:tc>
        <w:tc>
          <w:tcPr>
            <w:tcW w:w="1456" w:type="dxa"/>
            <w:vAlign w:val="center"/>
          </w:tcPr>
          <w:p w14:paraId="2AF45254" w14:textId="77777777" w:rsidR="009D0C9A" w:rsidRDefault="009D0C9A" w:rsidP="009D0C9A">
            <w:r>
              <w:t>1.4GB</w:t>
            </w:r>
          </w:p>
        </w:tc>
      </w:tr>
      <w:tr w:rsidR="009D0C9A" w14:paraId="1D8101A9" w14:textId="77777777" w:rsidTr="003D0AAF">
        <w:tc>
          <w:tcPr>
            <w:tcW w:w="1736" w:type="dxa"/>
            <w:vAlign w:val="center"/>
          </w:tcPr>
          <w:p w14:paraId="7D93BD90" w14:textId="77777777" w:rsidR="009D0C9A" w:rsidRDefault="009D0C9A" w:rsidP="009D0C9A">
            <w:r>
              <w:t>CWE-89-SQL-injection</w:t>
            </w:r>
          </w:p>
        </w:tc>
        <w:tc>
          <w:tcPr>
            <w:tcW w:w="1456" w:type="dxa"/>
            <w:vAlign w:val="center"/>
          </w:tcPr>
          <w:p w14:paraId="27DC2BD5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448A6139" w14:textId="77777777" w:rsidR="009D0C9A" w:rsidRDefault="009D0C9A" w:rsidP="009D0C9A">
            <w:r>
              <w:t>60</w:t>
            </w:r>
          </w:p>
        </w:tc>
        <w:tc>
          <w:tcPr>
            <w:tcW w:w="1456" w:type="dxa"/>
            <w:vAlign w:val="center"/>
          </w:tcPr>
          <w:p w14:paraId="0BC08F31" w14:textId="77777777" w:rsidR="009D0C9A" w:rsidRDefault="009D0C9A" w:rsidP="009D0C9A">
            <w:r>
              <w:t>120</w:t>
            </w:r>
          </w:p>
        </w:tc>
        <w:tc>
          <w:tcPr>
            <w:tcW w:w="1456" w:type="dxa"/>
            <w:vAlign w:val="center"/>
          </w:tcPr>
          <w:p w14:paraId="75420937" w14:textId="77777777" w:rsidR="009D0C9A" w:rsidRDefault="009D0C9A" w:rsidP="009D0C9A">
            <w:r>
              <w:t>760</w:t>
            </w:r>
          </w:p>
        </w:tc>
        <w:tc>
          <w:tcPr>
            <w:tcW w:w="1456" w:type="dxa"/>
            <w:vAlign w:val="center"/>
          </w:tcPr>
          <w:p w14:paraId="01686896" w14:textId="77777777" w:rsidR="009D0C9A" w:rsidRDefault="009D0C9A" w:rsidP="009D0C9A">
            <w:r>
              <w:t>3.7GB</w:t>
            </w:r>
          </w:p>
        </w:tc>
      </w:tr>
      <w:tr w:rsidR="009D0C9A" w14:paraId="763BA3F1" w14:textId="77777777" w:rsidTr="003D0AAF">
        <w:tc>
          <w:tcPr>
            <w:tcW w:w="1736" w:type="dxa"/>
            <w:vAlign w:val="center"/>
          </w:tcPr>
          <w:p w14:paraId="79296897" w14:textId="77777777" w:rsidR="009D0C9A" w:rsidRDefault="009D0C9A" w:rsidP="009D0C9A">
            <w:r>
              <w:t>EPS_CWE-434</w:t>
            </w:r>
          </w:p>
        </w:tc>
        <w:tc>
          <w:tcPr>
            <w:tcW w:w="1456" w:type="dxa"/>
            <w:vAlign w:val="center"/>
          </w:tcPr>
          <w:p w14:paraId="449E570A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097DE557" w14:textId="77777777" w:rsidR="009D0C9A" w:rsidRDefault="009D0C9A" w:rsidP="009D0C9A">
            <w:r>
              <w:t>60</w:t>
            </w:r>
          </w:p>
        </w:tc>
        <w:tc>
          <w:tcPr>
            <w:tcW w:w="1456" w:type="dxa"/>
            <w:vAlign w:val="center"/>
          </w:tcPr>
          <w:p w14:paraId="3DD3F1C1" w14:textId="77777777" w:rsidR="009D0C9A" w:rsidRDefault="009D0C9A" w:rsidP="009D0C9A">
            <w:r>
              <w:t>121</w:t>
            </w:r>
          </w:p>
        </w:tc>
        <w:tc>
          <w:tcPr>
            <w:tcW w:w="1456" w:type="dxa"/>
            <w:vAlign w:val="center"/>
          </w:tcPr>
          <w:p w14:paraId="06EE46F8" w14:textId="77777777" w:rsidR="009D0C9A" w:rsidRDefault="009D0C9A" w:rsidP="009D0C9A">
            <w:r>
              <w:t>759</w:t>
            </w:r>
          </w:p>
        </w:tc>
        <w:tc>
          <w:tcPr>
            <w:tcW w:w="1456" w:type="dxa"/>
            <w:vAlign w:val="center"/>
          </w:tcPr>
          <w:p w14:paraId="7E254100" w14:textId="77777777" w:rsidR="009D0C9A" w:rsidRDefault="009D0C9A" w:rsidP="009D0C9A">
            <w:r>
              <w:t>10GB</w:t>
            </w:r>
          </w:p>
        </w:tc>
      </w:tr>
      <w:tr w:rsidR="009D0C9A" w14:paraId="0754ECD1" w14:textId="77777777" w:rsidTr="003D0AAF">
        <w:tc>
          <w:tcPr>
            <w:tcW w:w="1736" w:type="dxa"/>
            <w:vAlign w:val="center"/>
          </w:tcPr>
          <w:p w14:paraId="690D59FF" w14:textId="77777777" w:rsidR="009D0C9A" w:rsidRDefault="009D0C9A" w:rsidP="009D0C9A">
            <w:r>
              <w:t>Juice-Shop</w:t>
            </w:r>
          </w:p>
        </w:tc>
        <w:tc>
          <w:tcPr>
            <w:tcW w:w="1456" w:type="dxa"/>
            <w:vAlign w:val="center"/>
          </w:tcPr>
          <w:p w14:paraId="404278CF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512169A0" w14:textId="77777777" w:rsidR="009D0C9A" w:rsidRDefault="009D0C9A" w:rsidP="009D0C9A">
            <w:r>
              <w:t>60</w:t>
            </w:r>
          </w:p>
        </w:tc>
        <w:tc>
          <w:tcPr>
            <w:tcW w:w="1456" w:type="dxa"/>
            <w:vAlign w:val="center"/>
          </w:tcPr>
          <w:p w14:paraId="09DE0375" w14:textId="77777777" w:rsidR="009D0C9A" w:rsidRDefault="009D0C9A" w:rsidP="009D0C9A">
            <w:r>
              <w:t>121</w:t>
            </w:r>
          </w:p>
        </w:tc>
        <w:tc>
          <w:tcPr>
            <w:tcW w:w="1456" w:type="dxa"/>
            <w:vAlign w:val="center"/>
          </w:tcPr>
          <w:p w14:paraId="25375B4C" w14:textId="77777777" w:rsidR="009D0C9A" w:rsidRDefault="009D0C9A" w:rsidP="009D0C9A">
            <w:r>
              <w:t>760</w:t>
            </w:r>
          </w:p>
        </w:tc>
        <w:tc>
          <w:tcPr>
            <w:tcW w:w="1456" w:type="dxa"/>
            <w:vAlign w:val="center"/>
          </w:tcPr>
          <w:p w14:paraId="57B64A80" w14:textId="77777777" w:rsidR="009D0C9A" w:rsidRDefault="009D0C9A" w:rsidP="009D0C9A">
            <w:r>
              <w:t>7.3GB</w:t>
            </w:r>
          </w:p>
        </w:tc>
      </w:tr>
      <w:tr w:rsidR="009D0C9A" w14:paraId="6FBD8A01" w14:textId="77777777" w:rsidTr="003D0AAF">
        <w:tc>
          <w:tcPr>
            <w:tcW w:w="1736" w:type="dxa"/>
            <w:vAlign w:val="center"/>
          </w:tcPr>
          <w:p w14:paraId="600DB902" w14:textId="77777777" w:rsidR="009D0C9A" w:rsidRDefault="009D0C9A" w:rsidP="009D0C9A">
            <w:r>
              <w:t>PHP_CWE-434</w:t>
            </w:r>
          </w:p>
        </w:tc>
        <w:tc>
          <w:tcPr>
            <w:tcW w:w="1456" w:type="dxa"/>
            <w:vAlign w:val="center"/>
          </w:tcPr>
          <w:p w14:paraId="097F6C94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78751DFD" w14:textId="77777777" w:rsidR="009D0C9A" w:rsidRDefault="009D0C9A" w:rsidP="009D0C9A">
            <w:r>
              <w:t>59</w:t>
            </w:r>
          </w:p>
        </w:tc>
        <w:tc>
          <w:tcPr>
            <w:tcW w:w="1456" w:type="dxa"/>
            <w:vAlign w:val="center"/>
          </w:tcPr>
          <w:p w14:paraId="400C63E7" w14:textId="77777777" w:rsidR="009D0C9A" w:rsidRDefault="009D0C9A" w:rsidP="009D0C9A">
            <w:r>
              <w:t>118</w:t>
            </w:r>
          </w:p>
        </w:tc>
        <w:tc>
          <w:tcPr>
            <w:tcW w:w="1456" w:type="dxa"/>
            <w:vAlign w:val="center"/>
          </w:tcPr>
          <w:p w14:paraId="36616B76" w14:textId="77777777" w:rsidR="009D0C9A" w:rsidRDefault="009D0C9A" w:rsidP="009D0C9A">
            <w:r>
              <w:t>760</w:t>
            </w:r>
          </w:p>
        </w:tc>
        <w:tc>
          <w:tcPr>
            <w:tcW w:w="1456" w:type="dxa"/>
            <w:vAlign w:val="center"/>
          </w:tcPr>
          <w:p w14:paraId="52645FD7" w14:textId="77777777" w:rsidR="009D0C9A" w:rsidRDefault="009D0C9A" w:rsidP="009D0C9A">
            <w:r>
              <w:t>3.8GB</w:t>
            </w:r>
          </w:p>
        </w:tc>
      </w:tr>
      <w:tr w:rsidR="009D0C9A" w14:paraId="781C14F6" w14:textId="77777777" w:rsidTr="003D0AAF">
        <w:tc>
          <w:tcPr>
            <w:tcW w:w="1736" w:type="dxa"/>
            <w:vAlign w:val="center"/>
          </w:tcPr>
          <w:p w14:paraId="55642C77" w14:textId="77777777" w:rsidR="009D0C9A" w:rsidRDefault="009D0C9A" w:rsidP="009D0C9A">
            <w:proofErr w:type="spellStart"/>
            <w:r>
              <w:t>ZipSlip</w:t>
            </w:r>
            <w:proofErr w:type="spellEnd"/>
          </w:p>
        </w:tc>
        <w:tc>
          <w:tcPr>
            <w:tcW w:w="1456" w:type="dxa"/>
            <w:vAlign w:val="center"/>
          </w:tcPr>
          <w:p w14:paraId="7F0AC4D7" w14:textId="77777777" w:rsidR="009D0C9A" w:rsidRDefault="009D0C9A" w:rsidP="009D0C9A">
            <w:r>
              <w:t>210</w:t>
            </w:r>
          </w:p>
        </w:tc>
        <w:tc>
          <w:tcPr>
            <w:tcW w:w="1456" w:type="dxa"/>
            <w:vAlign w:val="center"/>
          </w:tcPr>
          <w:p w14:paraId="5B2E76B9" w14:textId="77777777" w:rsidR="009D0C9A" w:rsidRDefault="009D0C9A" w:rsidP="009D0C9A">
            <w:r>
              <w:t>59</w:t>
            </w:r>
          </w:p>
        </w:tc>
        <w:tc>
          <w:tcPr>
            <w:tcW w:w="1456" w:type="dxa"/>
            <w:vAlign w:val="center"/>
          </w:tcPr>
          <w:p w14:paraId="208D728C" w14:textId="77777777" w:rsidR="009D0C9A" w:rsidRDefault="009D0C9A" w:rsidP="009D0C9A">
            <w:r>
              <w:t>118</w:t>
            </w:r>
          </w:p>
        </w:tc>
        <w:tc>
          <w:tcPr>
            <w:tcW w:w="1456" w:type="dxa"/>
            <w:vAlign w:val="center"/>
          </w:tcPr>
          <w:p w14:paraId="6D702871" w14:textId="77777777" w:rsidR="009D0C9A" w:rsidRDefault="009D0C9A" w:rsidP="009D0C9A">
            <w:r>
              <w:t>760</w:t>
            </w:r>
          </w:p>
        </w:tc>
        <w:tc>
          <w:tcPr>
            <w:tcW w:w="1456" w:type="dxa"/>
            <w:vAlign w:val="center"/>
          </w:tcPr>
          <w:p w14:paraId="02CC711D" w14:textId="77777777" w:rsidR="009D0C9A" w:rsidRDefault="009D0C9A" w:rsidP="009D0C9A">
            <w:r>
              <w:t>8.7GB</w:t>
            </w:r>
          </w:p>
        </w:tc>
      </w:tr>
    </w:tbl>
    <w:p w14:paraId="685D20BF" w14:textId="77777777" w:rsidR="0049300E" w:rsidRDefault="0049300E" w:rsidP="0049300E">
      <w:pPr>
        <w:jc w:val="left"/>
      </w:pPr>
    </w:p>
    <w:p w14:paraId="57BE2836" w14:textId="77777777" w:rsidR="009D0C9A" w:rsidRDefault="009D0C9A" w:rsidP="0049300E">
      <w:pPr>
        <w:jc w:val="left"/>
      </w:pPr>
      <w:r>
        <w:t>원본 데이터의 특성은 총 8개로 구성되어 있고 정보는 아래의 표와 같다.</w:t>
      </w:r>
    </w:p>
    <w:p w14:paraId="35197DE1" w14:textId="77777777" w:rsidR="009D0C9A" w:rsidRPr="0049300E" w:rsidRDefault="009D0C9A" w:rsidP="0049300E">
      <w:pPr>
        <w:jc w:val="left"/>
      </w:pPr>
    </w:p>
    <w:p w14:paraId="2DFEE78C" w14:textId="77777777" w:rsidR="007F3728" w:rsidRDefault="007F3728" w:rsidP="007F3728">
      <w:pPr>
        <w:pStyle w:val="a9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Information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0C9A" w14:paraId="22302CFE" w14:textId="77777777" w:rsidTr="00BD1D8B">
        <w:tc>
          <w:tcPr>
            <w:tcW w:w="4508" w:type="dxa"/>
            <w:vAlign w:val="center"/>
          </w:tcPr>
          <w:p w14:paraId="2705B24A" w14:textId="77777777" w:rsidR="009D0C9A" w:rsidRDefault="009D0C9A" w:rsidP="009D0C9A">
            <w:pPr>
              <w:widowControl/>
              <w:wordWrap/>
              <w:autoSpaceDE/>
              <w:autoSpaceDN/>
            </w:pPr>
            <w:r>
              <w:t>Feature</w:t>
            </w:r>
          </w:p>
        </w:tc>
        <w:tc>
          <w:tcPr>
            <w:tcW w:w="4508" w:type="dxa"/>
            <w:vAlign w:val="center"/>
          </w:tcPr>
          <w:p w14:paraId="20957EDA" w14:textId="77777777" w:rsidR="009D0C9A" w:rsidRDefault="009D0C9A" w:rsidP="009D0C9A">
            <w:pPr>
              <w:widowControl/>
              <w:wordWrap/>
              <w:autoSpaceDE/>
              <w:autoSpaceDN/>
            </w:pPr>
            <w:r>
              <w:t>Information</w:t>
            </w:r>
          </w:p>
        </w:tc>
      </w:tr>
      <w:tr w:rsidR="009D0C9A" w14:paraId="559F1977" w14:textId="77777777" w:rsidTr="00BD1D8B">
        <w:tc>
          <w:tcPr>
            <w:tcW w:w="4508" w:type="dxa"/>
            <w:vAlign w:val="center"/>
          </w:tcPr>
          <w:p w14:paraId="2D3ABDCD" w14:textId="77777777" w:rsidR="009D0C9A" w:rsidRDefault="009D0C9A" w:rsidP="009D0C9A">
            <w:proofErr w:type="spellStart"/>
            <w:r>
              <w:t>Event_time</w:t>
            </w:r>
            <w:proofErr w:type="spellEnd"/>
          </w:p>
        </w:tc>
        <w:tc>
          <w:tcPr>
            <w:tcW w:w="4508" w:type="dxa"/>
            <w:vAlign w:val="center"/>
          </w:tcPr>
          <w:p w14:paraId="41903DC9" w14:textId="77777777" w:rsidR="009D0C9A" w:rsidRDefault="009D0C9A" w:rsidP="009D0C9A">
            <w:r>
              <w:t>Event가 발생한 시간</w:t>
            </w:r>
          </w:p>
        </w:tc>
      </w:tr>
      <w:tr w:rsidR="009D0C9A" w14:paraId="1BADAE31" w14:textId="77777777" w:rsidTr="00BD1D8B">
        <w:tc>
          <w:tcPr>
            <w:tcW w:w="4508" w:type="dxa"/>
            <w:vAlign w:val="center"/>
          </w:tcPr>
          <w:p w14:paraId="53A0D514" w14:textId="77777777" w:rsidR="009D0C9A" w:rsidRDefault="009D0C9A" w:rsidP="009D0C9A">
            <w:proofErr w:type="spellStart"/>
            <w:r>
              <w:t>cpu</w:t>
            </w:r>
            <w:proofErr w:type="spellEnd"/>
          </w:p>
        </w:tc>
        <w:tc>
          <w:tcPr>
            <w:tcW w:w="4508" w:type="dxa"/>
            <w:vAlign w:val="center"/>
          </w:tcPr>
          <w:p w14:paraId="5C1B3ADA" w14:textId="77777777" w:rsidR="009D0C9A" w:rsidRDefault="009D0C9A" w:rsidP="009D0C9A">
            <w:r>
              <w:t>thread id</w:t>
            </w:r>
            <w:proofErr w:type="spellStart"/>
            <w:r>
              <w:t>를</w:t>
            </w:r>
            <w:proofErr w:type="spellEnd"/>
            <w:r>
              <w:t xml:space="preserve"> 나타냄</w:t>
            </w:r>
          </w:p>
        </w:tc>
      </w:tr>
      <w:tr w:rsidR="009D0C9A" w14:paraId="62180594" w14:textId="77777777" w:rsidTr="00BD1D8B">
        <w:tc>
          <w:tcPr>
            <w:tcW w:w="4508" w:type="dxa"/>
            <w:vAlign w:val="center"/>
          </w:tcPr>
          <w:p w14:paraId="71003DFA" w14:textId="77777777" w:rsidR="009D0C9A" w:rsidRDefault="009D0C9A" w:rsidP="009D0C9A">
            <w:proofErr w:type="spellStart"/>
            <w:r>
              <w:t>user_uid</w:t>
            </w:r>
            <w:proofErr w:type="spellEnd"/>
          </w:p>
        </w:tc>
        <w:tc>
          <w:tcPr>
            <w:tcW w:w="4508" w:type="dxa"/>
            <w:vAlign w:val="center"/>
          </w:tcPr>
          <w:p w14:paraId="31569828" w14:textId="77777777" w:rsidR="009D0C9A" w:rsidRDefault="009D0C9A" w:rsidP="009D0C9A">
            <w:r>
              <w:t>해당 프로세스를 실행한 사용자의 정보</w:t>
            </w:r>
          </w:p>
        </w:tc>
      </w:tr>
      <w:tr w:rsidR="009D0C9A" w14:paraId="24CFA842" w14:textId="77777777" w:rsidTr="00BD1D8B">
        <w:tc>
          <w:tcPr>
            <w:tcW w:w="4508" w:type="dxa"/>
            <w:vAlign w:val="center"/>
          </w:tcPr>
          <w:p w14:paraId="4E9AF0CE" w14:textId="77777777" w:rsidR="009D0C9A" w:rsidRDefault="009D0C9A" w:rsidP="009D0C9A">
            <w:r>
              <w:t>process</w:t>
            </w:r>
          </w:p>
        </w:tc>
        <w:tc>
          <w:tcPr>
            <w:tcW w:w="4508" w:type="dxa"/>
            <w:vAlign w:val="center"/>
          </w:tcPr>
          <w:p w14:paraId="2914FA36" w14:textId="77777777" w:rsidR="009D0C9A" w:rsidRDefault="009D0C9A" w:rsidP="009D0C9A">
            <w:r>
              <w:t>실행된 프로세스의 정보</w:t>
            </w:r>
          </w:p>
        </w:tc>
      </w:tr>
      <w:tr w:rsidR="009D0C9A" w14:paraId="4728BB48" w14:textId="77777777" w:rsidTr="00BD1D8B">
        <w:tc>
          <w:tcPr>
            <w:tcW w:w="4508" w:type="dxa"/>
            <w:vAlign w:val="center"/>
          </w:tcPr>
          <w:p w14:paraId="4D76C01F" w14:textId="77777777" w:rsidR="009D0C9A" w:rsidRDefault="009D0C9A" w:rsidP="009D0C9A">
            <w:proofErr w:type="spellStart"/>
            <w:r>
              <w:t>process_id</w:t>
            </w:r>
            <w:proofErr w:type="spellEnd"/>
          </w:p>
        </w:tc>
        <w:tc>
          <w:tcPr>
            <w:tcW w:w="4508" w:type="dxa"/>
            <w:vAlign w:val="center"/>
          </w:tcPr>
          <w:p w14:paraId="5FB53E6D" w14:textId="77777777" w:rsidR="009D0C9A" w:rsidRDefault="009D0C9A" w:rsidP="009D0C9A">
            <w:r>
              <w:t>프로세스 ID</w:t>
            </w:r>
          </w:p>
        </w:tc>
      </w:tr>
      <w:tr w:rsidR="009D0C9A" w14:paraId="5448B69B" w14:textId="77777777" w:rsidTr="00BD1D8B">
        <w:tc>
          <w:tcPr>
            <w:tcW w:w="4508" w:type="dxa"/>
            <w:vAlign w:val="center"/>
          </w:tcPr>
          <w:p w14:paraId="00A59147" w14:textId="77777777" w:rsidR="009D0C9A" w:rsidRDefault="009D0C9A" w:rsidP="009D0C9A">
            <w:proofErr w:type="spellStart"/>
            <w:r>
              <w:t>event_type</w:t>
            </w:r>
            <w:proofErr w:type="spellEnd"/>
          </w:p>
        </w:tc>
        <w:tc>
          <w:tcPr>
            <w:tcW w:w="4508" w:type="dxa"/>
            <w:vAlign w:val="center"/>
          </w:tcPr>
          <w:p w14:paraId="6AC2F548" w14:textId="77777777" w:rsidR="009D0C9A" w:rsidRDefault="009D0C9A" w:rsidP="009D0C9A">
            <w:r>
              <w:t>호출된 System Call</w:t>
            </w:r>
          </w:p>
        </w:tc>
      </w:tr>
      <w:tr w:rsidR="009D0C9A" w14:paraId="1DCF9581" w14:textId="77777777" w:rsidTr="00BD1D8B">
        <w:tc>
          <w:tcPr>
            <w:tcW w:w="4508" w:type="dxa"/>
            <w:vAlign w:val="center"/>
          </w:tcPr>
          <w:p w14:paraId="04922963" w14:textId="77777777" w:rsidR="009D0C9A" w:rsidRDefault="009D0C9A" w:rsidP="009D0C9A">
            <w:proofErr w:type="spellStart"/>
            <w:r>
              <w:t>event_direction</w:t>
            </w:r>
            <w:proofErr w:type="spellEnd"/>
          </w:p>
        </w:tc>
        <w:tc>
          <w:tcPr>
            <w:tcW w:w="4508" w:type="dxa"/>
            <w:vAlign w:val="center"/>
          </w:tcPr>
          <w:p w14:paraId="764A5C9B" w14:textId="77777777" w:rsidR="009D0C9A" w:rsidRDefault="009D0C9A" w:rsidP="009D0C9A">
            <w:r>
              <w:t xml:space="preserve">프로세스 호출, 반환을 나타냄(호출 : &gt;, 반환 : &lt; </w:t>
            </w:r>
            <w:proofErr w:type="spellStart"/>
            <w:r>
              <w:t>으로</w:t>
            </w:r>
            <w:proofErr w:type="spellEnd"/>
            <w:r>
              <w:t xml:space="preserve"> 표시)</w:t>
            </w:r>
          </w:p>
        </w:tc>
      </w:tr>
      <w:tr w:rsidR="009D0C9A" w14:paraId="1A9FB622" w14:textId="77777777" w:rsidTr="00BD1D8B">
        <w:tc>
          <w:tcPr>
            <w:tcW w:w="4508" w:type="dxa"/>
            <w:vAlign w:val="center"/>
          </w:tcPr>
          <w:p w14:paraId="3FA73E9E" w14:textId="77777777" w:rsidR="009D0C9A" w:rsidRDefault="009D0C9A" w:rsidP="009D0C9A">
            <w:proofErr w:type="spellStart"/>
            <w:r>
              <w:t>event_argument</w:t>
            </w:r>
            <w:proofErr w:type="spellEnd"/>
          </w:p>
        </w:tc>
        <w:tc>
          <w:tcPr>
            <w:tcW w:w="4508" w:type="dxa"/>
            <w:vAlign w:val="center"/>
          </w:tcPr>
          <w:p w14:paraId="0E1A1B8D" w14:textId="77777777" w:rsidR="009D0C9A" w:rsidRDefault="009D0C9A" w:rsidP="009D0C9A">
            <w:r>
              <w:t xml:space="preserve">System Call의 인자 (ex. res, </w:t>
            </w:r>
            <w:proofErr w:type="spellStart"/>
            <w:proofErr w:type="gramStart"/>
            <w:r>
              <w:t>fd</w:t>
            </w:r>
            <w:proofErr w:type="spellEnd"/>
            <w:r>
              <w:t>..</w:t>
            </w:r>
            <w:proofErr w:type="gramEnd"/>
            <w:r>
              <w:t>)</w:t>
            </w:r>
          </w:p>
        </w:tc>
      </w:tr>
    </w:tbl>
    <w:p w14:paraId="7C1AFBE2" w14:textId="77777777" w:rsidR="009D0C9A" w:rsidRDefault="009D0C9A" w:rsidP="0049300E">
      <w:pPr>
        <w:jc w:val="left"/>
      </w:pPr>
    </w:p>
    <w:p w14:paraId="323DFC85" w14:textId="77777777" w:rsidR="009D0C9A" w:rsidRDefault="009D0C9A" w:rsidP="0049300E">
      <w:pPr>
        <w:jc w:val="left"/>
        <w:rPr>
          <w:rStyle w:val="notion-enable-hover"/>
          <w:b/>
          <w:bCs/>
          <w:sz w:val="24"/>
        </w:rPr>
      </w:pPr>
      <w:r w:rsidRPr="009D0C9A">
        <w:rPr>
          <w:rStyle w:val="notion-enable-hover"/>
          <w:b/>
          <w:bCs/>
          <w:sz w:val="24"/>
        </w:rPr>
        <w:t>학습 구성도</w:t>
      </w:r>
    </w:p>
    <w:p w14:paraId="0F0D580E" w14:textId="77777777" w:rsidR="009D0C9A" w:rsidRDefault="009D0C9A" w:rsidP="009D0C9A">
      <w:pPr>
        <w:pStyle w:val="a8"/>
        <w:keepNext/>
      </w:pPr>
      <w:r>
        <w:rPr>
          <w:noProof/>
        </w:rPr>
        <w:drawing>
          <wp:inline distT="0" distB="0" distL="0" distR="0" wp14:anchorId="202B1AE6" wp14:editId="30B3B29C">
            <wp:extent cx="5724525" cy="3105150"/>
            <wp:effectExtent l="0" t="0" r="9525" b="0"/>
            <wp:docPr id="2" name="그림 2" descr="C:\Users\ajou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ou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CD7B" w14:textId="77777777" w:rsidR="009D0C9A" w:rsidRDefault="009D0C9A" w:rsidP="009D0C9A">
      <w:pPr>
        <w:pStyle w:val="a9"/>
        <w:jc w:val="left"/>
      </w:pPr>
      <w:r>
        <w:t>Figure 1</w:t>
      </w:r>
      <w:r w:rsidR="007F3728">
        <w:t xml:space="preserve"> Learning structure</w:t>
      </w:r>
    </w:p>
    <w:p w14:paraId="7692AA97" w14:textId="77777777" w:rsidR="009D0C9A" w:rsidRDefault="009D0C9A" w:rsidP="009D0C9A">
      <w:pPr>
        <w:jc w:val="left"/>
      </w:pPr>
      <w:r>
        <w:t xml:space="preserve">주어진 데이터는 .txt파일로 되어있다. 데이터를 좀 더 편리하기 </w:t>
      </w:r>
      <w:proofErr w:type="spellStart"/>
      <w:r>
        <w:t>다루기위해</w:t>
      </w:r>
      <w:proofErr w:type="spellEnd"/>
      <w:r>
        <w:t xml:space="preserve"> Pandas</w:t>
      </w:r>
      <w:proofErr w:type="spellStart"/>
      <w:r>
        <w:t>를</w:t>
      </w:r>
      <w:proofErr w:type="spellEnd"/>
      <w:r>
        <w:t xml:space="preserve"> 이용하여 .txt파일을 csv파일로 변환하는 과정을 거쳤다.</w:t>
      </w:r>
    </w:p>
    <w:p w14:paraId="73A76AEC" w14:textId="77777777" w:rsidR="009D0C9A" w:rsidRDefault="009D0C9A" w:rsidP="009D0C9A">
      <w:pPr>
        <w:jc w:val="left"/>
      </w:pPr>
      <w:r>
        <w:t xml:space="preserve">System Call이 LID-DS에서 공격을 </w:t>
      </w:r>
      <w:proofErr w:type="spellStart"/>
      <w:r>
        <w:t>탐지하는데에</w:t>
      </w:r>
      <w:proofErr w:type="spellEnd"/>
      <w:r>
        <w:t xml:space="preserve"> 있어 중요한 특성이기 때문에, </w:t>
      </w:r>
      <w:proofErr w:type="spellStart"/>
      <w:r>
        <w:t>Gensim</w:t>
      </w:r>
      <w:proofErr w:type="spellEnd"/>
      <w:r>
        <w:t>의 Word2Vec Library</w:t>
      </w:r>
      <w:proofErr w:type="spellStart"/>
      <w:r>
        <w:t>를</w:t>
      </w:r>
      <w:proofErr w:type="spellEnd"/>
      <w:r>
        <w:t xml:space="preserve"> 사용하여 Embedding vector</w:t>
      </w:r>
      <w:proofErr w:type="spellStart"/>
      <w:r>
        <w:t>를</w:t>
      </w:r>
      <w:proofErr w:type="spellEnd"/>
      <w:r>
        <w:t xml:space="preserve"> 생성한다. 각 Scenario의 System call sequence</w:t>
      </w:r>
      <w:proofErr w:type="spellStart"/>
      <w:r>
        <w:t>를</w:t>
      </w:r>
      <w:proofErr w:type="spellEnd"/>
      <w:r>
        <w:t xml:space="preserve"> 하나의 문장으로 보고 그것들을 모아서 Word2Vec의 학습 데이터로 사용한다. Word2Vec에 사용한 데이터는 2가지 공격 유형의 시나리오 파일들을 모두 사용하여 총 420개의 시나리오를 사</w:t>
      </w:r>
      <w:r>
        <w:lastRenderedPageBreak/>
        <w:t>용하였다.(’Bruteforce_CWE-309’, ‘CVE-2014-0160’)</w:t>
      </w:r>
    </w:p>
    <w:p w14:paraId="78BDDA8A" w14:textId="77777777" w:rsidR="009D0C9A" w:rsidRDefault="009D0C9A" w:rsidP="009D0C9A">
      <w:pPr>
        <w:jc w:val="left"/>
      </w:pPr>
      <w:r>
        <w:t xml:space="preserve">Event argument 특성을 </w:t>
      </w:r>
      <w:proofErr w:type="spellStart"/>
      <w:r>
        <w:t>사용하기위하여</w:t>
      </w:r>
      <w:proofErr w:type="spellEnd"/>
      <w:r>
        <w:t xml:space="preserve"> </w:t>
      </w:r>
      <w:proofErr w:type="spellStart"/>
      <w:r>
        <w:t>특성값을</w:t>
      </w:r>
      <w:proofErr w:type="spellEnd"/>
      <w:r>
        <w:t xml:space="preserve"> 파싱하고, 값을 불러오기 위한 “</w:t>
      </w:r>
      <w:proofErr w:type="spellStart"/>
      <w:r>
        <w:t>extract_params</w:t>
      </w:r>
      <w:proofErr w:type="spellEnd"/>
      <w:r>
        <w:t>”</w:t>
      </w:r>
      <w:proofErr w:type="spellStart"/>
      <w:r>
        <w:t>를</w:t>
      </w:r>
      <w:proofErr w:type="spellEnd"/>
      <w:r>
        <w:t xml:space="preserve"> 만들어 System call의 반환 값인 “res”특성을 사용하였다.</w:t>
      </w:r>
    </w:p>
    <w:p w14:paraId="2675D53F" w14:textId="77777777" w:rsidR="009D0C9A" w:rsidRDefault="009D0C9A" w:rsidP="009D0C9A">
      <w:pPr>
        <w:jc w:val="left"/>
      </w:pPr>
      <w:proofErr w:type="spellStart"/>
      <w:r>
        <w:t>Convoultion</w:t>
      </w:r>
      <w:proofErr w:type="spellEnd"/>
      <w:r>
        <w:t xml:space="preserve"> 1D의 입력데이터는 3차원이므로 데이터를 3차원으로 변환하여 주는 함수인 “</w:t>
      </w:r>
      <w:proofErr w:type="spellStart"/>
      <w:r>
        <w:t>making_model_input</w:t>
      </w:r>
      <w:proofErr w:type="spellEnd"/>
      <w:r>
        <w:t>” 함수를 만들어주었다. Sequence의 길이는 30으로 고정하고 전처리를 진행하였다.</w:t>
      </w:r>
    </w:p>
    <w:p w14:paraId="1182A822" w14:textId="77777777" w:rsidR="009D0C9A" w:rsidRDefault="009D0C9A" w:rsidP="009D0C9A">
      <w:pPr>
        <w:jc w:val="left"/>
      </w:pPr>
      <w:r>
        <w:t xml:space="preserve">결론적으로 총 사용한 특성은 System call, Event direction, return value 3개의 특성이다. “res”특성의 스케일을 조정해주기 위하여 </w:t>
      </w:r>
      <w:proofErr w:type="spellStart"/>
      <w:r>
        <w:t>MinMaxScaler를</w:t>
      </w:r>
      <w:proofErr w:type="spellEnd"/>
      <w:r>
        <w:t xml:space="preserve"> 사용하였으며, </w:t>
      </w:r>
      <w:proofErr w:type="spellStart"/>
      <w:r>
        <w:t>event_direction</w:t>
      </w:r>
      <w:proofErr w:type="spellEnd"/>
      <w:r>
        <w:t xml:space="preserve">은 2가지의 값을 가져 </w:t>
      </w:r>
      <w:proofErr w:type="spellStart"/>
      <w:r>
        <w:t>OneHotEncoding</w:t>
      </w:r>
      <w:proofErr w:type="spellEnd"/>
      <w:r>
        <w:t>을 진행 하고, 하나의 행을 삭제하였다.(</w:t>
      </w:r>
      <w:proofErr w:type="spellStart"/>
      <w:r>
        <w:t>LabelEncoding</w:t>
      </w:r>
      <w:proofErr w:type="spellEnd"/>
      <w:r>
        <w:t>과 같은 의미) 결론적인 입력</w:t>
      </w:r>
      <w:r>
        <w:rPr>
          <w:rFonts w:hint="eastAsia"/>
        </w:rPr>
        <w:t xml:space="preserve"> </w:t>
      </w:r>
      <w:r>
        <w:t>데이터 차원은 System call embedding vector size에 2</w:t>
      </w:r>
      <w:proofErr w:type="spellStart"/>
      <w:r>
        <w:t>를</w:t>
      </w:r>
      <w:proofErr w:type="spellEnd"/>
      <w:r>
        <w:t xml:space="preserve"> 더한 값이다.</w:t>
      </w:r>
    </w:p>
    <w:p w14:paraId="5C78D673" w14:textId="77777777" w:rsidR="009D0C9A" w:rsidRDefault="009D0C9A" w:rsidP="009D0C9A">
      <w:pPr>
        <w:jc w:val="left"/>
      </w:pPr>
      <w:r>
        <w:t>학습데이터는 각 공격당 30개의 시나리오를 사용하여 총 60개의 시나리오를 사용하였고, 검증데이터는 각 공격당 10개의 시나리오를 사용하여 총 20개의 시나리오를 사용하였다.</w:t>
      </w:r>
    </w:p>
    <w:p w14:paraId="22C7D92A" w14:textId="77777777" w:rsidR="009D0C9A" w:rsidRPr="009D0C9A" w:rsidRDefault="009D0C9A" w:rsidP="0049300E">
      <w:pPr>
        <w:jc w:val="left"/>
      </w:pPr>
      <w:r>
        <w:t xml:space="preserve">사용할 모델 구조는 </w:t>
      </w:r>
      <w:proofErr w:type="spellStart"/>
      <w:r>
        <w:t>Denosing</w:t>
      </w:r>
      <w:proofErr w:type="spellEnd"/>
      <w:r>
        <w:t xml:space="preserve"> Autoencoder이고, </w:t>
      </w:r>
      <w:proofErr w:type="spellStart"/>
      <w:r>
        <w:t>오토인코더는</w:t>
      </w:r>
      <w:proofErr w:type="spellEnd"/>
      <w:r>
        <w:t xml:space="preserve"> 데이터가 들어오면 데이터를 축소시키는 인코더(Encoder)</w:t>
      </w:r>
      <w:proofErr w:type="spellStart"/>
      <w:r>
        <w:t>를</w:t>
      </w:r>
      <w:proofErr w:type="spellEnd"/>
      <w:r>
        <w:t xml:space="preserve"> 거쳐 잠재 벡터(Latent vector)</w:t>
      </w:r>
      <w:proofErr w:type="spellStart"/>
      <w:r>
        <w:t>를</w:t>
      </w:r>
      <w:proofErr w:type="spellEnd"/>
      <w:r>
        <w:t xml:space="preserve"> 만들어 데이터를 주요한 특성만 가지도록 압축하고, 압축한 벡터를 </w:t>
      </w:r>
      <w:proofErr w:type="spellStart"/>
      <w:r>
        <w:t>디코더</w:t>
      </w:r>
      <w:proofErr w:type="spellEnd"/>
      <w:r>
        <w:t>(</w:t>
      </w:r>
      <w:proofErr w:type="spellStart"/>
      <w:r>
        <w:t>Decoer</w:t>
      </w:r>
      <w:proofErr w:type="spellEnd"/>
      <w:r>
        <w:t xml:space="preserve">) 층을 거쳐 다시 복원하는 것이 목적인 모델 구조이다. </w:t>
      </w:r>
      <w:proofErr w:type="spellStart"/>
      <w:r>
        <w:t>오토인코더는</w:t>
      </w:r>
      <w:proofErr w:type="spellEnd"/>
      <w:r>
        <w:t xml:space="preserve"> 데이터의 차원을 활성화 함수(Activation </w:t>
      </w:r>
      <w:proofErr w:type="spellStart"/>
      <w:r>
        <w:t>functino</w:t>
      </w:r>
      <w:proofErr w:type="spellEnd"/>
      <w:r>
        <w:t>)에 비선형 활성화 함수를 사용하여 비선형 차원 축소가 가능하여 차원 축소에도 많이 이용되는 방법이다. 인코더 층에 노이즈를 넣은 후 복원</w:t>
      </w:r>
      <w:r>
        <w:rPr>
          <w:rFonts w:hint="eastAsia"/>
        </w:rPr>
        <w:t>하</w:t>
      </w:r>
      <w:r>
        <w:t xml:space="preserve">는 과정을 거치는 모델이 </w:t>
      </w:r>
      <w:proofErr w:type="spellStart"/>
      <w:r>
        <w:t>Denosing</w:t>
      </w:r>
      <w:proofErr w:type="spellEnd"/>
      <w:r>
        <w:t xml:space="preserve"> Autoencoder인데, 이 구조는 Autoencoder 모델에 비해 일반화 성능이 더 뛰어나다는 장점이 존재한다.</w:t>
      </w:r>
      <w:proofErr w:type="spellStart"/>
      <w:r>
        <w:t>오토인코더의</w:t>
      </w:r>
      <w:proofErr w:type="spellEnd"/>
      <w:r>
        <w:t xml:space="preserve"> 잠재벡터를 사용하여 이상 시나리오를 분류하는 방식이 아닌. 정상 시나리오만을 사용하여 </w:t>
      </w:r>
      <w:proofErr w:type="spellStart"/>
      <w:r>
        <w:t>오토인코더가</w:t>
      </w:r>
      <w:proofErr w:type="spellEnd"/>
      <w:r>
        <w:t xml:space="preserve"> 학습을 한다면 이상 시나리오를 복구할 때 복원오차가 증가한다는 성질을 이용하여 이상 시나리오를 탐지하였다.</w:t>
      </w:r>
    </w:p>
    <w:p w14:paraId="67E2DC80" w14:textId="77777777" w:rsidR="009D0C9A" w:rsidRDefault="009D0C9A" w:rsidP="009D0C9A">
      <w:pPr>
        <w:keepNext/>
        <w:jc w:val="left"/>
      </w:pPr>
      <w:r w:rsidRPr="009D0C9A">
        <w:rPr>
          <w:caps/>
          <w:noProof/>
        </w:rPr>
        <w:lastRenderedPageBreak/>
        <w:drawing>
          <wp:inline distT="0" distB="0" distL="0" distR="0" wp14:anchorId="78D7E854" wp14:editId="0DF8E0AB">
            <wp:extent cx="5734050" cy="2647950"/>
            <wp:effectExtent l="0" t="0" r="0" b="0"/>
            <wp:docPr id="4" name="그림 4" descr="C:\Users\ajou\Downloads\autoenco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ou\Downloads\autoencoder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F5D7" w14:textId="77777777" w:rsidR="009D0C9A" w:rsidRDefault="009D0C9A" w:rsidP="009D0C9A">
      <w:pPr>
        <w:pStyle w:val="a9"/>
        <w:jc w:val="left"/>
      </w:pPr>
      <w:r>
        <w:t xml:space="preserve">Figure </w:t>
      </w:r>
      <w:r w:rsidR="007F3728">
        <w:t>2 Autoencoder Structure</w:t>
      </w:r>
    </w:p>
    <w:p w14:paraId="68B0FCB0" w14:textId="77777777" w:rsidR="009D0C9A" w:rsidRDefault="009D0C9A" w:rsidP="0049300E">
      <w:pPr>
        <w:jc w:val="left"/>
      </w:pPr>
    </w:p>
    <w:p w14:paraId="68DAE5FE" w14:textId="77777777" w:rsidR="009D0C9A" w:rsidRDefault="009D0C9A" w:rsidP="009D0C9A">
      <w:pPr>
        <w:jc w:val="left"/>
      </w:pPr>
      <w:r>
        <w:t xml:space="preserve">사용한 모델은 Convolution1D Denoising Autoencoder이고 Convolution 1D 레이어로 구성되어 있기 때문에, 입력데이터는 3차원의 구조를 </w:t>
      </w:r>
      <w:proofErr w:type="spellStart"/>
      <w:r>
        <w:t>띄어야한다</w:t>
      </w:r>
      <w:proofErr w:type="spellEnd"/>
      <w:r>
        <w:t xml:space="preserve">. 첫번째 요소는 배치크기, 두번째 요소는 </w:t>
      </w:r>
      <w:proofErr w:type="spellStart"/>
      <w:r>
        <w:t>시퀸스</w:t>
      </w:r>
      <w:proofErr w:type="spellEnd"/>
      <w:r>
        <w:t xml:space="preserve"> 길이, 세번째 요소는 특성의 개수를 의미한다. 모델에 알맞게 </w:t>
      </w:r>
      <w:proofErr w:type="spellStart"/>
      <w:r>
        <w:t>넣어주기위해</w:t>
      </w:r>
      <w:proofErr w:type="spellEnd"/>
      <w:r>
        <w:t xml:space="preserve"> 특성 선택이 진행된 데이터를 3차원으로 변환하는 과정을 거쳤다.</w:t>
      </w:r>
    </w:p>
    <w:p w14:paraId="30B63D5B" w14:textId="77777777" w:rsidR="009D0C9A" w:rsidRDefault="009D0C9A" w:rsidP="009D0C9A">
      <w:pPr>
        <w:jc w:val="left"/>
      </w:pPr>
      <w:r>
        <w:t xml:space="preserve">데이터의 크기가 상당히 크기 때문에, </w:t>
      </w:r>
      <w:proofErr w:type="spellStart"/>
      <w:r>
        <w:t>Pytorch</w:t>
      </w:r>
      <w:proofErr w:type="spellEnd"/>
      <w:r>
        <w:t xml:space="preserve">의 </w:t>
      </w:r>
      <w:proofErr w:type="spellStart"/>
      <w:r>
        <w:t>Dataloader</w:t>
      </w:r>
      <w:proofErr w:type="spellEnd"/>
      <w:r>
        <w:t xml:space="preserve">와 비슷한 기능인 </w:t>
      </w:r>
      <w:proofErr w:type="spellStart"/>
      <w:r>
        <w:t>Keras</w:t>
      </w:r>
      <w:proofErr w:type="spellEnd"/>
      <w:r>
        <w:t xml:space="preserve">의 Sequence 라이브러리를 사용하여 데이터를 </w:t>
      </w:r>
      <w:proofErr w:type="spellStart"/>
      <w:r>
        <w:t>로드하였다</w:t>
      </w:r>
      <w:proofErr w:type="spellEnd"/>
      <w:r>
        <w:t>.</w:t>
      </w:r>
    </w:p>
    <w:p w14:paraId="5A5C9E1B" w14:textId="77777777" w:rsidR="009D0C9A" w:rsidRPr="009D0C9A" w:rsidRDefault="009D0C9A" w:rsidP="009D0C9A">
      <w:pPr>
        <w:jc w:val="left"/>
      </w:pPr>
      <w:r>
        <w:t>선정 모델은</w:t>
      </w:r>
      <w:r w:rsidR="007F3728">
        <w:t xml:space="preserve"> Conv1D Denoising </w:t>
      </w:r>
      <w:r w:rsidR="007F3728">
        <w:rPr>
          <w:rFonts w:hint="eastAsia"/>
        </w:rPr>
        <w:t>A</w:t>
      </w:r>
      <w:r>
        <w:t>utoencoder이다. Convoution1D 레이어를 사용하여 모델이 연속된 시스템 콜의 시계열 특성을 반영할 수 있게 하였다. 첫번째 모델은 잠재벡터를 나타내는 Dense층을 사용하지 않았고, 두번째 모델은 잠재벡터를 나타내는 Dense층을 사용하여 실험을 진행하였다. 노이즈를 생성하는 역할을 하는 Dropout의 비율은 0.3, 첫번째 모델의 노드 수는 [64-32-16-16-32-64], 두번째 모델의 노드 수는 [64-32-16-8-16-32-64]로 고정하고 실험을 진행하고, Word2Vec의 Embedding Vector크기를 조정하면서 실험을 진행하였다.</w:t>
      </w:r>
    </w:p>
    <w:p w14:paraId="2E2A47AE" w14:textId="77777777" w:rsidR="009D0C9A" w:rsidRDefault="009D0C9A" w:rsidP="009D0C9A">
      <w:pPr>
        <w:keepNext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1FCFC73B" wp14:editId="011AE460">
            <wp:extent cx="5724525" cy="2105025"/>
            <wp:effectExtent l="0" t="0" r="9525" b="9525"/>
            <wp:docPr id="5" name="그림 5" descr="C:\Users\ajou\Downloads\conv1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ou\Downloads\conv1d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97D5" w14:textId="77777777" w:rsidR="009D0C9A" w:rsidRDefault="009D0C9A" w:rsidP="009D0C9A">
      <w:pPr>
        <w:pStyle w:val="a9"/>
        <w:jc w:val="left"/>
      </w:pPr>
      <w:r>
        <w:t>Figure 3</w:t>
      </w:r>
      <w:r w:rsidR="007F3728">
        <w:t xml:space="preserve"> Conv1d </w:t>
      </w:r>
      <w:proofErr w:type="spellStart"/>
      <w:r w:rsidR="007F3728">
        <w:t>Denosing</w:t>
      </w:r>
      <w:proofErr w:type="spellEnd"/>
      <w:r w:rsidR="007F3728">
        <w:t xml:space="preserve"> Autoencoder No dense</w:t>
      </w:r>
    </w:p>
    <w:p w14:paraId="29299402" w14:textId="77777777" w:rsidR="009D0C9A" w:rsidRDefault="009D0C9A" w:rsidP="009D0C9A">
      <w:pPr>
        <w:keepNext/>
        <w:jc w:val="left"/>
      </w:pPr>
      <w:r>
        <w:rPr>
          <w:noProof/>
        </w:rPr>
        <w:drawing>
          <wp:inline distT="0" distB="0" distL="0" distR="0" wp14:anchorId="7FB7E45A" wp14:editId="4CC05AB7">
            <wp:extent cx="5724525" cy="1924050"/>
            <wp:effectExtent l="0" t="0" r="9525" b="0"/>
            <wp:docPr id="6" name="그림 6" descr="C:\Users\ajou\Downloads\conv1d_den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ou\Downloads\conv1d_dense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CB19" w14:textId="77777777" w:rsidR="009D0C9A" w:rsidRDefault="009D0C9A" w:rsidP="009D0C9A">
      <w:pPr>
        <w:pStyle w:val="a9"/>
        <w:jc w:val="left"/>
      </w:pPr>
      <w:r>
        <w:t>Figure 4</w:t>
      </w:r>
      <w:r w:rsidR="007F3728">
        <w:t xml:space="preserve"> Conv1d </w:t>
      </w:r>
      <w:proofErr w:type="spellStart"/>
      <w:r w:rsidR="007F3728">
        <w:t>Denosing</w:t>
      </w:r>
      <w:proofErr w:type="spellEnd"/>
      <w:r w:rsidR="007F3728">
        <w:t xml:space="preserve"> Autoencoder with Dense</w:t>
      </w:r>
    </w:p>
    <w:p w14:paraId="4DBF44AA" w14:textId="77777777" w:rsidR="009D0C9A" w:rsidRDefault="009D0C9A" w:rsidP="009D0C9A"/>
    <w:p w14:paraId="3DBA0BA5" w14:textId="77777777" w:rsidR="009D0C9A" w:rsidRPr="009D0C9A" w:rsidRDefault="009D0C9A" w:rsidP="009D0C9A">
      <w:r>
        <w:t xml:space="preserve">배치사이즈는 32, 30에폭동안 학습을 진행하였다. </w:t>
      </w:r>
      <w:proofErr w:type="spellStart"/>
      <w:r>
        <w:t>옵티마이저는</w:t>
      </w:r>
      <w:proofErr w:type="spellEnd"/>
      <w:r>
        <w:t xml:space="preserve"> Adam을 사용하였고 초기 </w:t>
      </w:r>
      <w:proofErr w:type="spellStart"/>
      <w:r>
        <w:t>학습률은</w:t>
      </w:r>
      <w:proofErr w:type="spellEnd"/>
      <w:r>
        <w:t xml:space="preserve"> 0.001로 정하였다. He normal 방법으로 가중치를 초기화하여 주었고 활성화함수는 sigmoid와 같은 함수에서 기울기 소실 문제와 </w:t>
      </w:r>
      <w:proofErr w:type="spellStart"/>
      <w:r>
        <w:t>relu</w:t>
      </w:r>
      <w:proofErr w:type="spellEnd"/>
      <w:r>
        <w:t xml:space="preserve">의 Dying </w:t>
      </w:r>
      <w:proofErr w:type="spellStart"/>
      <w:r>
        <w:t>relu</w:t>
      </w:r>
      <w:proofErr w:type="spellEnd"/>
      <w:r>
        <w:t xml:space="preserve"> 문제를 해결한 leaky </w:t>
      </w:r>
      <w:proofErr w:type="spellStart"/>
      <w:r>
        <w:t>relu를</w:t>
      </w:r>
      <w:proofErr w:type="spellEnd"/>
      <w:r>
        <w:t xml:space="preserve"> 사용하였다. 손실함수는 MSE</w:t>
      </w:r>
      <w:proofErr w:type="spellStart"/>
      <w:r>
        <w:t>를</w:t>
      </w:r>
      <w:proofErr w:type="spellEnd"/>
      <w:r>
        <w:t xml:space="preserve"> 사용하였고, 검증 오차를 기준으로 조기종료를 사용, </w:t>
      </w:r>
      <w:proofErr w:type="spellStart"/>
      <w:r>
        <w:t>학습률</w:t>
      </w:r>
      <w:proofErr w:type="spellEnd"/>
      <w:r>
        <w:t xml:space="preserve"> 스케줄러인 </w:t>
      </w:r>
      <w:proofErr w:type="spellStart"/>
      <w:r>
        <w:t>ReduceOnLRPlateau를</w:t>
      </w:r>
      <w:proofErr w:type="spellEnd"/>
      <w:r>
        <w:t xml:space="preserve"> 사용하여 과대적합을 피하였다. 학습 도중 가장 최적의 모델을 저장하기 위해 </w:t>
      </w:r>
      <w:proofErr w:type="spellStart"/>
      <w:r>
        <w:t>ModelCheckPoint를</w:t>
      </w:r>
      <w:proofErr w:type="spellEnd"/>
      <w:r>
        <w:t xml:space="preserve"> 사용하여 과적합이 발생하기 전 최적의 모델을 저장하였다. 정리한 모델 파라미터는 아래와 같다.</w:t>
      </w:r>
    </w:p>
    <w:p w14:paraId="255D8346" w14:textId="77777777" w:rsidR="007F3728" w:rsidRDefault="007F3728" w:rsidP="007F3728">
      <w:pPr>
        <w:pStyle w:val="a9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Hyperparameter</w:t>
      </w:r>
      <w:r>
        <w:t xml:space="preserve"> </w:t>
      </w:r>
      <w:r>
        <w:rPr>
          <w:rFonts w:hint="eastAsia"/>
        </w:rPr>
        <w:t>Information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0C9A" w14:paraId="5BD07F88" w14:textId="77777777" w:rsidTr="009D0C9A">
        <w:tc>
          <w:tcPr>
            <w:tcW w:w="4508" w:type="dxa"/>
          </w:tcPr>
          <w:p w14:paraId="0F81CF1A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 xml:space="preserve">Batch size </w:t>
            </w:r>
          </w:p>
        </w:tc>
        <w:tc>
          <w:tcPr>
            <w:tcW w:w="4508" w:type="dxa"/>
          </w:tcPr>
          <w:p w14:paraId="01F2D48B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32</w:t>
            </w:r>
          </w:p>
        </w:tc>
      </w:tr>
      <w:tr w:rsidR="009D0C9A" w14:paraId="78CBF619" w14:textId="77777777" w:rsidTr="009D0C9A">
        <w:tc>
          <w:tcPr>
            <w:tcW w:w="4508" w:type="dxa"/>
          </w:tcPr>
          <w:p w14:paraId="68B97699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Epoch</w:t>
            </w:r>
          </w:p>
        </w:tc>
        <w:tc>
          <w:tcPr>
            <w:tcW w:w="4508" w:type="dxa"/>
          </w:tcPr>
          <w:p w14:paraId="2E07B588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30</w:t>
            </w:r>
          </w:p>
        </w:tc>
      </w:tr>
      <w:tr w:rsidR="009D0C9A" w14:paraId="5CB5B034" w14:textId="77777777" w:rsidTr="009D0C9A">
        <w:tc>
          <w:tcPr>
            <w:tcW w:w="4508" w:type="dxa"/>
          </w:tcPr>
          <w:p w14:paraId="43AD192A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Conv1d Layer kernel size</w:t>
            </w:r>
          </w:p>
        </w:tc>
        <w:tc>
          <w:tcPr>
            <w:tcW w:w="4508" w:type="dxa"/>
          </w:tcPr>
          <w:p w14:paraId="62AB324D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9D0C9A" w14:paraId="08C74DBC" w14:textId="77777777" w:rsidTr="009D0C9A">
        <w:tc>
          <w:tcPr>
            <w:tcW w:w="4508" w:type="dxa"/>
          </w:tcPr>
          <w:p w14:paraId="41359AE0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Optimizer</w:t>
            </w:r>
          </w:p>
        </w:tc>
        <w:tc>
          <w:tcPr>
            <w:tcW w:w="4508" w:type="dxa"/>
          </w:tcPr>
          <w:p w14:paraId="40835100" w14:textId="77777777" w:rsidR="009D0C9A" w:rsidRDefault="009D0C9A" w:rsidP="009D0C9A">
            <w:pPr>
              <w:jc w:val="left"/>
            </w:pPr>
            <w:r>
              <w:t>A</w:t>
            </w:r>
            <w:r>
              <w:rPr>
                <w:rFonts w:hint="eastAsia"/>
              </w:rPr>
              <w:t>dam</w:t>
            </w:r>
          </w:p>
        </w:tc>
      </w:tr>
      <w:tr w:rsidR="009D0C9A" w14:paraId="580B6874" w14:textId="77777777" w:rsidTr="009D0C9A">
        <w:tc>
          <w:tcPr>
            <w:tcW w:w="4508" w:type="dxa"/>
          </w:tcPr>
          <w:p w14:paraId="60FDEBE1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Initial learning rate</w:t>
            </w:r>
          </w:p>
        </w:tc>
        <w:tc>
          <w:tcPr>
            <w:tcW w:w="4508" w:type="dxa"/>
          </w:tcPr>
          <w:p w14:paraId="084EF4A1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1e-3</w:t>
            </w:r>
          </w:p>
        </w:tc>
      </w:tr>
      <w:tr w:rsidR="009D0C9A" w14:paraId="4DFFB174" w14:textId="77777777" w:rsidTr="009D0C9A">
        <w:tc>
          <w:tcPr>
            <w:tcW w:w="4508" w:type="dxa"/>
          </w:tcPr>
          <w:p w14:paraId="48B30B2C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lastRenderedPageBreak/>
              <w:t xml:space="preserve">Kernel </w:t>
            </w:r>
            <w:proofErr w:type="spellStart"/>
            <w:r>
              <w:rPr>
                <w:rFonts w:hint="eastAsia"/>
              </w:rPr>
              <w:t>initalizer</w:t>
            </w:r>
            <w:proofErr w:type="spellEnd"/>
          </w:p>
        </w:tc>
        <w:tc>
          <w:tcPr>
            <w:tcW w:w="4508" w:type="dxa"/>
          </w:tcPr>
          <w:p w14:paraId="17C07971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He initializer</w:t>
            </w:r>
          </w:p>
        </w:tc>
      </w:tr>
      <w:tr w:rsidR="009D0C9A" w14:paraId="37F60F65" w14:textId="77777777" w:rsidTr="009D0C9A">
        <w:tc>
          <w:tcPr>
            <w:tcW w:w="4508" w:type="dxa"/>
          </w:tcPr>
          <w:p w14:paraId="65477AF7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Activation function</w:t>
            </w:r>
          </w:p>
        </w:tc>
        <w:tc>
          <w:tcPr>
            <w:tcW w:w="4508" w:type="dxa"/>
          </w:tcPr>
          <w:p w14:paraId="02454F0B" w14:textId="77777777" w:rsidR="009D0C9A" w:rsidRDefault="009D0C9A" w:rsidP="009D0C9A">
            <w:pPr>
              <w:jc w:val="left"/>
            </w:pPr>
            <w:r>
              <w:t>L</w:t>
            </w:r>
            <w:r>
              <w:rPr>
                <w:rFonts w:hint="eastAsia"/>
              </w:rPr>
              <w:t xml:space="preserve">eaky </w:t>
            </w:r>
            <w:proofErr w:type="spellStart"/>
            <w:r>
              <w:t>relu</w:t>
            </w:r>
            <w:proofErr w:type="spellEnd"/>
          </w:p>
        </w:tc>
      </w:tr>
      <w:tr w:rsidR="009D0C9A" w14:paraId="1F87B23F" w14:textId="77777777" w:rsidTr="009D0C9A">
        <w:tc>
          <w:tcPr>
            <w:tcW w:w="4508" w:type="dxa"/>
          </w:tcPr>
          <w:p w14:paraId="75B96A96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Loss function</w:t>
            </w:r>
          </w:p>
        </w:tc>
        <w:tc>
          <w:tcPr>
            <w:tcW w:w="4508" w:type="dxa"/>
          </w:tcPr>
          <w:p w14:paraId="653AE59D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MSE</w:t>
            </w:r>
          </w:p>
        </w:tc>
      </w:tr>
      <w:tr w:rsidR="009D0C9A" w14:paraId="2A316C92" w14:textId="77777777" w:rsidTr="009D0C9A">
        <w:tc>
          <w:tcPr>
            <w:tcW w:w="4508" w:type="dxa"/>
          </w:tcPr>
          <w:p w14:paraId="33CDD82E" w14:textId="77777777" w:rsidR="009D0C9A" w:rsidRDefault="009D0C9A" w:rsidP="009D0C9A">
            <w:pPr>
              <w:jc w:val="left"/>
            </w:pPr>
            <w:proofErr w:type="spellStart"/>
            <w:r>
              <w:rPr>
                <w:rFonts w:hint="eastAsia"/>
              </w:rPr>
              <w:t>EarlyStopping</w:t>
            </w:r>
            <w:proofErr w:type="spellEnd"/>
          </w:p>
        </w:tc>
        <w:tc>
          <w:tcPr>
            <w:tcW w:w="4508" w:type="dxa"/>
          </w:tcPr>
          <w:p w14:paraId="7AEB2683" w14:textId="77777777" w:rsidR="009D0C9A" w:rsidRDefault="009D0C9A" w:rsidP="009D0C9A">
            <w:pPr>
              <w:jc w:val="left"/>
            </w:pPr>
            <w:r>
              <w:t>p</w:t>
            </w:r>
            <w:r>
              <w:rPr>
                <w:rFonts w:hint="eastAsia"/>
              </w:rPr>
              <w:t xml:space="preserve">atience </w:t>
            </w:r>
            <w:r>
              <w:t xml:space="preserve">= 5, monitor = </w:t>
            </w:r>
            <w:proofErr w:type="spellStart"/>
            <w:r>
              <w:t>val_loss</w:t>
            </w:r>
            <w:proofErr w:type="spellEnd"/>
          </w:p>
        </w:tc>
      </w:tr>
      <w:tr w:rsidR="009D0C9A" w14:paraId="62FA89D8" w14:textId="77777777" w:rsidTr="009D0C9A">
        <w:tc>
          <w:tcPr>
            <w:tcW w:w="4508" w:type="dxa"/>
          </w:tcPr>
          <w:p w14:paraId="451EF5FB" w14:textId="77777777" w:rsidR="009D0C9A" w:rsidRDefault="009D0C9A" w:rsidP="009D0C9A">
            <w:pPr>
              <w:jc w:val="left"/>
            </w:pPr>
            <w:r>
              <w:rPr>
                <w:rFonts w:hint="eastAsia"/>
              </w:rPr>
              <w:t>Learning rate scheduler</w:t>
            </w:r>
          </w:p>
        </w:tc>
        <w:tc>
          <w:tcPr>
            <w:tcW w:w="4508" w:type="dxa"/>
          </w:tcPr>
          <w:p w14:paraId="4FCF68F6" w14:textId="77777777" w:rsidR="009D0C9A" w:rsidRDefault="009D0C9A" w:rsidP="009D0C9A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ReduceOnLRPlateau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patience = 5)</w:t>
            </w:r>
          </w:p>
        </w:tc>
      </w:tr>
      <w:tr w:rsidR="009D0C9A" w14:paraId="21769C6E" w14:textId="77777777" w:rsidTr="009D0C9A">
        <w:tc>
          <w:tcPr>
            <w:tcW w:w="4508" w:type="dxa"/>
          </w:tcPr>
          <w:p w14:paraId="40871390" w14:textId="77777777" w:rsidR="009D0C9A" w:rsidRDefault="009D0C9A" w:rsidP="009D0C9A">
            <w:pPr>
              <w:jc w:val="left"/>
            </w:pPr>
            <w:proofErr w:type="spellStart"/>
            <w:r>
              <w:rPr>
                <w:rFonts w:hint="eastAsia"/>
              </w:rPr>
              <w:t>ModelCheckPoint</w:t>
            </w:r>
            <w:proofErr w:type="spellEnd"/>
          </w:p>
        </w:tc>
        <w:tc>
          <w:tcPr>
            <w:tcW w:w="4508" w:type="dxa"/>
          </w:tcPr>
          <w:p w14:paraId="19064AF7" w14:textId="77777777" w:rsidR="009D0C9A" w:rsidRDefault="009D0C9A" w:rsidP="009D0C9A">
            <w:pPr>
              <w:jc w:val="left"/>
            </w:pPr>
            <w:r>
              <w:t xml:space="preserve">monitor = </w:t>
            </w:r>
            <w:proofErr w:type="spellStart"/>
            <w:r>
              <w:t>val_loss</w:t>
            </w:r>
            <w:proofErr w:type="spellEnd"/>
          </w:p>
        </w:tc>
      </w:tr>
    </w:tbl>
    <w:p w14:paraId="5E5BF25D" w14:textId="77777777" w:rsidR="009D0C9A" w:rsidRDefault="009D0C9A" w:rsidP="009D0C9A">
      <w:pPr>
        <w:jc w:val="left"/>
      </w:pPr>
    </w:p>
    <w:p w14:paraId="086DC1CA" w14:textId="77777777" w:rsidR="009D0C9A" w:rsidRDefault="009D0C9A" w:rsidP="009D0C9A">
      <w:pPr>
        <w:jc w:val="left"/>
      </w:pPr>
      <w:r>
        <w:t>원본 데이터는 2차원이기때문에 복원한 3차원 데이터를 2차원으로 복원하는 과정을 거쳤고,</w:t>
      </w:r>
      <w:r w:rsidR="007F3728">
        <w:t xml:space="preserve"> </w:t>
      </w:r>
      <w:r>
        <w:t xml:space="preserve">원본 데이터와 MSE로 </w:t>
      </w:r>
      <w:proofErr w:type="spellStart"/>
      <w:r>
        <w:t>재구현</w:t>
      </w:r>
      <w:proofErr w:type="spellEnd"/>
      <w:r>
        <w:t xml:space="preserve"> 오차를 계산한다. 그리고 시계열 데이터의 특성을 반영하기 위하여 이동평균으로 error smoothing 작업을 진행한 후 LID-DS 데이터에서 명시된 공격 시작 시점 이후에 복원오차가 일정 </w:t>
      </w:r>
      <w:proofErr w:type="spellStart"/>
      <w:r>
        <w:t>임계값</w:t>
      </w:r>
      <w:proofErr w:type="spellEnd"/>
      <w:r>
        <w:t xml:space="preserve"> 이상을 나타낸다면 해당 시나리오는 공격을 포함한 시나리오라고 판단하였다. 정상 데이터는 임계치 이상의 오차가 발생한다면 </w:t>
      </w:r>
      <w:proofErr w:type="spellStart"/>
      <w:r>
        <w:t>오탐이라고</w:t>
      </w:r>
      <w:proofErr w:type="spellEnd"/>
      <w:r>
        <w:t xml:space="preserve"> 판정하였다.</w:t>
      </w:r>
    </w:p>
    <w:p w14:paraId="75B01A5A" w14:textId="77777777" w:rsidR="009D0C9A" w:rsidRDefault="009D0C9A" w:rsidP="009D0C9A">
      <w:pPr>
        <w:keepNext/>
        <w:jc w:val="left"/>
      </w:pPr>
      <w:r>
        <w:rPr>
          <w:noProof/>
        </w:rPr>
        <w:drawing>
          <wp:inline distT="0" distB="0" distL="0" distR="0" wp14:anchorId="0A64F3D4" wp14:editId="5DEABB38">
            <wp:extent cx="5724525" cy="2886075"/>
            <wp:effectExtent l="0" t="0" r="9525" b="9525"/>
            <wp:docPr id="7" name="그림 7" descr="C:\Users\ajou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ou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E2D5" w14:textId="77777777" w:rsidR="009D0C9A" w:rsidRDefault="009D0C9A" w:rsidP="009D0C9A">
      <w:pPr>
        <w:pStyle w:val="a9"/>
        <w:jc w:val="left"/>
      </w:pPr>
      <w:r>
        <w:t>Figure 5</w:t>
      </w:r>
      <w:r w:rsidR="007F3728">
        <w:t xml:space="preserve"> Reconstruction Error Plot</w:t>
      </w:r>
    </w:p>
    <w:p w14:paraId="30DDF433" w14:textId="77777777" w:rsidR="009D0C9A" w:rsidRDefault="009D0C9A" w:rsidP="009D0C9A">
      <w:pPr>
        <w:jc w:val="left"/>
      </w:pPr>
    </w:p>
    <w:p w14:paraId="4DEE14E1" w14:textId="583B6F32" w:rsidR="007F3728" w:rsidRDefault="009D0C9A" w:rsidP="009D0C9A">
      <w:pPr>
        <w:jc w:val="left"/>
      </w:pPr>
      <w:r>
        <w:t>테스트 데이터는 공격이 포함된 시나리오 100개, 정상만을 포함하는 시나리오 300개를 사용하여 총 400개의 시나리오를 테스트 데이터로 사용하였다. 테스트 데이터의 비율은 1:3이므로, 균형을 이루고 있다고 보기 힘들 기 때문에 Accuracy는 성능평가에 적합하지 않다고 판단하여 Recall과 Precision의 조화평균인 F1 score</w:t>
      </w:r>
      <w:proofErr w:type="spellStart"/>
      <w:r>
        <w:t>를</w:t>
      </w:r>
      <w:proofErr w:type="spellEnd"/>
      <w:r>
        <w:t xml:space="preserve"> 사용하여 성능을 평가하였다. 결과는 아래에 표</w:t>
      </w:r>
      <w:r w:rsidR="0027254E">
        <w:rPr>
          <w:rFonts w:hint="eastAsia"/>
        </w:rPr>
        <w:t xml:space="preserve"> 및 그래프</w:t>
      </w:r>
      <w:r>
        <w:t>에 정리하였다.</w:t>
      </w:r>
      <w:r w:rsidR="007F3728">
        <w:t>’</w:t>
      </w:r>
    </w:p>
    <w:p w14:paraId="41A3D919" w14:textId="77777777" w:rsidR="007F3728" w:rsidRPr="0027254E" w:rsidRDefault="007F3728" w:rsidP="009D0C9A">
      <w:pPr>
        <w:jc w:val="left"/>
      </w:pPr>
    </w:p>
    <w:p w14:paraId="45CC7A5C" w14:textId="77777777" w:rsidR="007F3728" w:rsidRDefault="007F3728" w:rsidP="007F3728">
      <w:pPr>
        <w:pStyle w:val="a9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Conv1d</w:t>
      </w:r>
      <w:r>
        <w:t xml:space="preserve"> </w:t>
      </w:r>
      <w:r>
        <w:rPr>
          <w:rFonts w:hint="eastAsia"/>
        </w:rPr>
        <w:t>DAE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Dense</w:t>
      </w:r>
      <w:r>
        <w:t xml:space="preserve"> </w:t>
      </w:r>
      <w:r>
        <w:rPr>
          <w:rFonts w:hint="eastAsia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503"/>
        <w:gridCol w:w="1503"/>
        <w:gridCol w:w="1503"/>
      </w:tblGrid>
      <w:tr w:rsidR="007F3728" w14:paraId="17CB2701" w14:textId="77777777" w:rsidTr="007F3728">
        <w:tc>
          <w:tcPr>
            <w:tcW w:w="1696" w:type="dxa"/>
            <w:vAlign w:val="center"/>
          </w:tcPr>
          <w:p w14:paraId="507EF2F0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>Model</w:t>
            </w:r>
          </w:p>
        </w:tc>
        <w:tc>
          <w:tcPr>
            <w:tcW w:w="1308" w:type="dxa"/>
            <w:vAlign w:val="center"/>
          </w:tcPr>
          <w:p w14:paraId="313AC106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 xml:space="preserve">Embedding Vector Size </w:t>
            </w:r>
          </w:p>
        </w:tc>
        <w:tc>
          <w:tcPr>
            <w:tcW w:w="1503" w:type="dxa"/>
            <w:vAlign w:val="center"/>
          </w:tcPr>
          <w:p w14:paraId="360BC2DF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>Threshold</w:t>
            </w:r>
          </w:p>
        </w:tc>
        <w:tc>
          <w:tcPr>
            <w:tcW w:w="1503" w:type="dxa"/>
            <w:vAlign w:val="center"/>
          </w:tcPr>
          <w:p w14:paraId="7C3FA79F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>F1-score (</w:t>
            </w:r>
            <w:proofErr w:type="spellStart"/>
            <w:r>
              <w:t>Bruteforce</w:t>
            </w:r>
            <w:proofErr w:type="spellEnd"/>
            <w:r>
              <w:t>)</w:t>
            </w:r>
          </w:p>
        </w:tc>
        <w:tc>
          <w:tcPr>
            <w:tcW w:w="1503" w:type="dxa"/>
            <w:vAlign w:val="center"/>
          </w:tcPr>
          <w:p w14:paraId="310E6AF6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>F1-score (Heartbleed)</w:t>
            </w:r>
          </w:p>
        </w:tc>
        <w:tc>
          <w:tcPr>
            <w:tcW w:w="1503" w:type="dxa"/>
            <w:vAlign w:val="center"/>
          </w:tcPr>
          <w:p w14:paraId="112A1DEF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>Avg. F1-score</w:t>
            </w:r>
          </w:p>
        </w:tc>
      </w:tr>
      <w:tr w:rsidR="007F3728" w14:paraId="60C08C20" w14:textId="77777777" w:rsidTr="007F3728">
        <w:tc>
          <w:tcPr>
            <w:tcW w:w="1696" w:type="dxa"/>
            <w:vAlign w:val="center"/>
          </w:tcPr>
          <w:p w14:paraId="67A40849" w14:textId="77777777" w:rsidR="007F3728" w:rsidRDefault="007F3728" w:rsidP="007F3728">
            <w:r>
              <w:t xml:space="preserve">Conv1d </w:t>
            </w:r>
            <w:proofErr w:type="gramStart"/>
            <w:r>
              <w:t>DAE(</w:t>
            </w:r>
            <w:proofErr w:type="gramEnd"/>
            <w:r>
              <w:t>Use Dense)</w:t>
            </w:r>
          </w:p>
        </w:tc>
        <w:tc>
          <w:tcPr>
            <w:tcW w:w="1308" w:type="dxa"/>
            <w:vAlign w:val="center"/>
          </w:tcPr>
          <w:p w14:paraId="1ADEB7D5" w14:textId="77777777" w:rsidR="007F3728" w:rsidRDefault="007F3728" w:rsidP="007F3728">
            <w:r>
              <w:t>10</w:t>
            </w:r>
          </w:p>
        </w:tc>
        <w:tc>
          <w:tcPr>
            <w:tcW w:w="1503" w:type="dxa"/>
            <w:vAlign w:val="center"/>
          </w:tcPr>
          <w:p w14:paraId="6D3F1BA7" w14:textId="77777777" w:rsidR="007F3728" w:rsidRDefault="007F3728" w:rsidP="007F3728">
            <w:r>
              <w:t>1e-4</w:t>
            </w:r>
          </w:p>
        </w:tc>
        <w:tc>
          <w:tcPr>
            <w:tcW w:w="1503" w:type="dxa"/>
            <w:vAlign w:val="center"/>
          </w:tcPr>
          <w:p w14:paraId="2914B521" w14:textId="77777777" w:rsidR="007F3728" w:rsidRDefault="007F3728" w:rsidP="007F3728">
            <w:r>
              <w:t>76.4%</w:t>
            </w:r>
          </w:p>
        </w:tc>
        <w:tc>
          <w:tcPr>
            <w:tcW w:w="1503" w:type="dxa"/>
            <w:vAlign w:val="center"/>
          </w:tcPr>
          <w:p w14:paraId="1A75765A" w14:textId="77777777" w:rsidR="007F3728" w:rsidRDefault="007F3728" w:rsidP="007F3728">
            <w:r>
              <w:t>79.7%</w:t>
            </w:r>
          </w:p>
        </w:tc>
        <w:tc>
          <w:tcPr>
            <w:tcW w:w="1503" w:type="dxa"/>
            <w:vAlign w:val="center"/>
          </w:tcPr>
          <w:p w14:paraId="274A197D" w14:textId="77777777" w:rsidR="007F3728" w:rsidRDefault="007F3728" w:rsidP="007F3728">
            <w:r>
              <w:t>78.1%</w:t>
            </w:r>
          </w:p>
        </w:tc>
      </w:tr>
      <w:tr w:rsidR="007F3728" w14:paraId="3FAA5992" w14:textId="77777777" w:rsidTr="007F3728">
        <w:tc>
          <w:tcPr>
            <w:tcW w:w="1696" w:type="dxa"/>
            <w:vAlign w:val="center"/>
          </w:tcPr>
          <w:p w14:paraId="55CC9EE9" w14:textId="77777777" w:rsidR="007F3728" w:rsidRDefault="007F3728" w:rsidP="007F3728">
            <w:r>
              <w:t xml:space="preserve">Conv1d </w:t>
            </w:r>
            <w:proofErr w:type="gramStart"/>
            <w:r>
              <w:t>DAE(</w:t>
            </w:r>
            <w:proofErr w:type="gramEnd"/>
            <w:r>
              <w:t>Use Dense)</w:t>
            </w:r>
          </w:p>
        </w:tc>
        <w:tc>
          <w:tcPr>
            <w:tcW w:w="1308" w:type="dxa"/>
            <w:vAlign w:val="center"/>
          </w:tcPr>
          <w:p w14:paraId="25F93114" w14:textId="77777777" w:rsidR="007F3728" w:rsidRDefault="007F3728" w:rsidP="007F3728">
            <w:r>
              <w:t>20</w:t>
            </w:r>
          </w:p>
        </w:tc>
        <w:tc>
          <w:tcPr>
            <w:tcW w:w="1503" w:type="dxa"/>
            <w:vAlign w:val="center"/>
          </w:tcPr>
          <w:p w14:paraId="63DC9D56" w14:textId="77777777" w:rsidR="007F3728" w:rsidRDefault="007F3728" w:rsidP="007F3728">
            <w:r>
              <w:t>1.1*1e-4</w:t>
            </w:r>
          </w:p>
        </w:tc>
        <w:tc>
          <w:tcPr>
            <w:tcW w:w="1503" w:type="dxa"/>
            <w:vAlign w:val="center"/>
          </w:tcPr>
          <w:p w14:paraId="218CDA9D" w14:textId="77777777" w:rsidR="007F3728" w:rsidRDefault="007F3728" w:rsidP="007F3728">
            <w:r>
              <w:t>81.8%</w:t>
            </w:r>
          </w:p>
        </w:tc>
        <w:tc>
          <w:tcPr>
            <w:tcW w:w="1503" w:type="dxa"/>
            <w:vAlign w:val="center"/>
          </w:tcPr>
          <w:p w14:paraId="33AB81DE" w14:textId="77777777" w:rsidR="007F3728" w:rsidRDefault="007F3728" w:rsidP="007F3728">
            <w:r>
              <w:t>79.4%</w:t>
            </w:r>
          </w:p>
        </w:tc>
        <w:tc>
          <w:tcPr>
            <w:tcW w:w="1503" w:type="dxa"/>
            <w:vAlign w:val="center"/>
          </w:tcPr>
          <w:p w14:paraId="55A1EA67" w14:textId="77777777" w:rsidR="007F3728" w:rsidRDefault="007F3728" w:rsidP="007F3728">
            <w:r>
              <w:t>80.6%</w:t>
            </w:r>
          </w:p>
        </w:tc>
      </w:tr>
      <w:tr w:rsidR="007F3728" w14:paraId="53D3BC22" w14:textId="77777777" w:rsidTr="007F3728">
        <w:tc>
          <w:tcPr>
            <w:tcW w:w="1696" w:type="dxa"/>
            <w:vAlign w:val="center"/>
          </w:tcPr>
          <w:p w14:paraId="053AFBF3" w14:textId="77777777" w:rsidR="007F3728" w:rsidRDefault="007F3728" w:rsidP="007F3728">
            <w:r>
              <w:t xml:space="preserve">Conv1d </w:t>
            </w:r>
            <w:proofErr w:type="gramStart"/>
            <w:r>
              <w:t>DAE(</w:t>
            </w:r>
            <w:proofErr w:type="gramEnd"/>
            <w:r>
              <w:t>Use Dense)</w:t>
            </w:r>
          </w:p>
        </w:tc>
        <w:tc>
          <w:tcPr>
            <w:tcW w:w="1308" w:type="dxa"/>
            <w:vAlign w:val="center"/>
          </w:tcPr>
          <w:p w14:paraId="42E05ED0" w14:textId="77777777" w:rsidR="007F3728" w:rsidRDefault="007F3728" w:rsidP="007F3728">
            <w:r>
              <w:t>30</w:t>
            </w:r>
          </w:p>
        </w:tc>
        <w:tc>
          <w:tcPr>
            <w:tcW w:w="1503" w:type="dxa"/>
            <w:vAlign w:val="center"/>
          </w:tcPr>
          <w:p w14:paraId="34A21A9E" w14:textId="77777777" w:rsidR="007F3728" w:rsidRDefault="007F3728" w:rsidP="007F3728">
            <w:r>
              <w:t>4*1e-5</w:t>
            </w:r>
          </w:p>
        </w:tc>
        <w:tc>
          <w:tcPr>
            <w:tcW w:w="1503" w:type="dxa"/>
            <w:vAlign w:val="center"/>
          </w:tcPr>
          <w:p w14:paraId="49E3FD0F" w14:textId="77777777" w:rsidR="007F3728" w:rsidRDefault="007F3728" w:rsidP="007F3728">
            <w:r>
              <w:t>79.6%</w:t>
            </w:r>
          </w:p>
        </w:tc>
        <w:tc>
          <w:tcPr>
            <w:tcW w:w="1503" w:type="dxa"/>
            <w:vAlign w:val="center"/>
          </w:tcPr>
          <w:p w14:paraId="4A70043C" w14:textId="77777777" w:rsidR="007F3728" w:rsidRDefault="007F3728" w:rsidP="007F3728">
            <w:r>
              <w:t>78.7%</w:t>
            </w:r>
          </w:p>
        </w:tc>
        <w:tc>
          <w:tcPr>
            <w:tcW w:w="1503" w:type="dxa"/>
            <w:vAlign w:val="center"/>
          </w:tcPr>
          <w:p w14:paraId="465F5F31" w14:textId="77777777" w:rsidR="007F3728" w:rsidRDefault="007F3728" w:rsidP="007F3728">
            <w:r>
              <w:t>79.2%</w:t>
            </w:r>
          </w:p>
        </w:tc>
      </w:tr>
      <w:tr w:rsidR="007F3728" w14:paraId="65E247CF" w14:textId="77777777" w:rsidTr="007F3728">
        <w:tc>
          <w:tcPr>
            <w:tcW w:w="1696" w:type="dxa"/>
            <w:vAlign w:val="center"/>
          </w:tcPr>
          <w:p w14:paraId="7CE53C50" w14:textId="77777777" w:rsidR="007F3728" w:rsidRDefault="007F3728" w:rsidP="007F3728">
            <w:r>
              <w:t xml:space="preserve">Conv1d </w:t>
            </w:r>
            <w:proofErr w:type="gramStart"/>
            <w:r>
              <w:t>DAE(</w:t>
            </w:r>
            <w:proofErr w:type="gramEnd"/>
            <w:r>
              <w:t>Use Dense)</w:t>
            </w:r>
          </w:p>
        </w:tc>
        <w:tc>
          <w:tcPr>
            <w:tcW w:w="1308" w:type="dxa"/>
            <w:vAlign w:val="center"/>
          </w:tcPr>
          <w:p w14:paraId="0147D2B6" w14:textId="77777777" w:rsidR="007F3728" w:rsidRDefault="007F3728" w:rsidP="007F3728">
            <w:r>
              <w:t>40</w:t>
            </w:r>
          </w:p>
        </w:tc>
        <w:tc>
          <w:tcPr>
            <w:tcW w:w="1503" w:type="dxa"/>
            <w:vAlign w:val="center"/>
          </w:tcPr>
          <w:p w14:paraId="3B6B3728" w14:textId="77777777" w:rsidR="007F3728" w:rsidRDefault="007F3728" w:rsidP="007F3728">
            <w:r>
              <w:t>1.05*1e-4</w:t>
            </w:r>
          </w:p>
        </w:tc>
        <w:tc>
          <w:tcPr>
            <w:tcW w:w="1503" w:type="dxa"/>
            <w:vAlign w:val="center"/>
          </w:tcPr>
          <w:p w14:paraId="1B2FC55D" w14:textId="77777777" w:rsidR="007F3728" w:rsidRDefault="007F3728" w:rsidP="007F3728">
            <w:r>
              <w:t>79.0%</w:t>
            </w:r>
          </w:p>
        </w:tc>
        <w:tc>
          <w:tcPr>
            <w:tcW w:w="1503" w:type="dxa"/>
            <w:vAlign w:val="center"/>
          </w:tcPr>
          <w:p w14:paraId="12B338D6" w14:textId="77777777" w:rsidR="007F3728" w:rsidRDefault="007F3728" w:rsidP="007F3728">
            <w:r>
              <w:t>78.7%</w:t>
            </w:r>
          </w:p>
        </w:tc>
        <w:tc>
          <w:tcPr>
            <w:tcW w:w="1503" w:type="dxa"/>
            <w:vAlign w:val="center"/>
          </w:tcPr>
          <w:p w14:paraId="00981821" w14:textId="77777777" w:rsidR="007F3728" w:rsidRDefault="007F3728" w:rsidP="007F3728">
            <w:r>
              <w:t>78.9%</w:t>
            </w:r>
          </w:p>
        </w:tc>
      </w:tr>
      <w:tr w:rsidR="007F3728" w14:paraId="63455713" w14:textId="77777777" w:rsidTr="007F3728">
        <w:tc>
          <w:tcPr>
            <w:tcW w:w="1696" w:type="dxa"/>
            <w:vAlign w:val="center"/>
          </w:tcPr>
          <w:p w14:paraId="34E9B548" w14:textId="77777777" w:rsidR="007F3728" w:rsidRDefault="007F3728" w:rsidP="007F3728">
            <w:r>
              <w:t xml:space="preserve">Conv1d </w:t>
            </w:r>
            <w:proofErr w:type="gramStart"/>
            <w:r>
              <w:t>DAE(</w:t>
            </w:r>
            <w:proofErr w:type="gramEnd"/>
            <w:r>
              <w:t>Use Dense)</w:t>
            </w:r>
          </w:p>
        </w:tc>
        <w:tc>
          <w:tcPr>
            <w:tcW w:w="1308" w:type="dxa"/>
            <w:vAlign w:val="center"/>
          </w:tcPr>
          <w:p w14:paraId="04DC4B60" w14:textId="77777777" w:rsidR="007F3728" w:rsidRDefault="007F3728" w:rsidP="007F3728">
            <w:r>
              <w:t>50</w:t>
            </w:r>
          </w:p>
        </w:tc>
        <w:tc>
          <w:tcPr>
            <w:tcW w:w="1503" w:type="dxa"/>
            <w:vAlign w:val="center"/>
          </w:tcPr>
          <w:p w14:paraId="1244488B" w14:textId="77777777" w:rsidR="007F3728" w:rsidRDefault="007F3728" w:rsidP="007F3728">
            <w:r>
              <w:t>4*1e-5</w:t>
            </w:r>
          </w:p>
        </w:tc>
        <w:tc>
          <w:tcPr>
            <w:tcW w:w="1503" w:type="dxa"/>
            <w:vAlign w:val="center"/>
          </w:tcPr>
          <w:p w14:paraId="609FA57B" w14:textId="77777777" w:rsidR="007F3728" w:rsidRDefault="007F3728" w:rsidP="007F3728">
            <w:r>
              <w:rPr>
                <w:rStyle w:val="aa"/>
              </w:rPr>
              <w:t>81.8%</w:t>
            </w:r>
          </w:p>
        </w:tc>
        <w:tc>
          <w:tcPr>
            <w:tcW w:w="1503" w:type="dxa"/>
            <w:vAlign w:val="center"/>
          </w:tcPr>
          <w:p w14:paraId="679C473B" w14:textId="77777777" w:rsidR="007F3728" w:rsidRDefault="007F3728" w:rsidP="007F3728">
            <w:r>
              <w:rPr>
                <w:rStyle w:val="aa"/>
              </w:rPr>
              <w:t>79.7%</w:t>
            </w:r>
          </w:p>
        </w:tc>
        <w:tc>
          <w:tcPr>
            <w:tcW w:w="1503" w:type="dxa"/>
            <w:vAlign w:val="center"/>
          </w:tcPr>
          <w:p w14:paraId="7165A3AF" w14:textId="77777777" w:rsidR="007F3728" w:rsidRDefault="007F3728" w:rsidP="007F3728">
            <w:r>
              <w:rPr>
                <w:rStyle w:val="aa"/>
              </w:rPr>
              <w:t>80.8%</w:t>
            </w:r>
          </w:p>
        </w:tc>
      </w:tr>
    </w:tbl>
    <w:p w14:paraId="762A6052" w14:textId="55862A6D" w:rsidR="007F3728" w:rsidRDefault="007F3728" w:rsidP="009D0C9A">
      <w:pPr>
        <w:jc w:val="left"/>
      </w:pPr>
    </w:p>
    <w:p w14:paraId="6B312184" w14:textId="77777777" w:rsidR="00496BCE" w:rsidRDefault="00496BCE" w:rsidP="00496BCE">
      <w:pPr>
        <w:keepNext/>
        <w:jc w:val="center"/>
      </w:pPr>
      <w:r w:rsidRPr="00496BCE">
        <w:drawing>
          <wp:inline distT="0" distB="0" distL="0" distR="0" wp14:anchorId="0553D053" wp14:editId="61DE7FEE">
            <wp:extent cx="2645924" cy="17431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406" cy="17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61E8" w14:textId="4955B875" w:rsidR="00496BCE" w:rsidRDefault="00496BCE" w:rsidP="00496BCE">
      <w:pPr>
        <w:pStyle w:val="a9"/>
        <w:jc w:val="center"/>
        <w:rPr>
          <w:rFonts w:hint="eastAsia"/>
        </w:rPr>
      </w:pPr>
      <w:r>
        <w:t>Figure 6 F1-</w:t>
      </w:r>
      <w:proofErr w:type="gramStart"/>
      <w:r>
        <w:t>score(</w:t>
      </w:r>
      <w:proofErr w:type="spellStart"/>
      <w:proofErr w:type="gramEnd"/>
      <w:r>
        <w:t>BruteForce</w:t>
      </w:r>
      <w:proofErr w:type="spellEnd"/>
      <w:r>
        <w:t>) According To Embedding Vector Size Plot(Use Dense)</w:t>
      </w:r>
    </w:p>
    <w:p w14:paraId="7BC1FDAA" w14:textId="77777777" w:rsidR="00496BCE" w:rsidRDefault="00496BCE" w:rsidP="00496BCE">
      <w:pPr>
        <w:keepNext/>
        <w:jc w:val="center"/>
      </w:pPr>
      <w:r w:rsidRPr="00496BCE">
        <w:drawing>
          <wp:inline distT="0" distB="0" distL="0" distR="0" wp14:anchorId="21587188" wp14:editId="0BCAA3F3">
            <wp:extent cx="2634380" cy="1799617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038" cy="182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1AD4" w14:textId="53CFCF0B" w:rsidR="00496BCE" w:rsidRDefault="00496BCE" w:rsidP="00496BCE">
      <w:pPr>
        <w:pStyle w:val="a9"/>
        <w:jc w:val="center"/>
        <w:rPr>
          <w:rFonts w:hint="eastAsia"/>
        </w:rPr>
      </w:pPr>
      <w:r>
        <w:t>Figure 7</w:t>
      </w:r>
      <w:r w:rsidRPr="00496BCE">
        <w:t xml:space="preserve"> </w:t>
      </w:r>
      <w:r>
        <w:t>F1</w:t>
      </w:r>
      <w:r>
        <w:t>-</w:t>
      </w:r>
      <w:proofErr w:type="gramStart"/>
      <w:r>
        <w:t>score(</w:t>
      </w:r>
      <w:proofErr w:type="spellStart"/>
      <w:proofErr w:type="gramEnd"/>
      <w:r>
        <w:t>HeartBleed</w:t>
      </w:r>
      <w:proofErr w:type="spellEnd"/>
      <w:r>
        <w:t>) According To Embedding Vector Size Plot</w:t>
      </w:r>
      <w:r>
        <w:t>(Use Dense)</w:t>
      </w:r>
    </w:p>
    <w:p w14:paraId="418B18B2" w14:textId="77777777" w:rsidR="00496BCE" w:rsidRDefault="00496BCE" w:rsidP="00496BCE">
      <w:pPr>
        <w:keepNext/>
        <w:jc w:val="center"/>
      </w:pPr>
      <w:r w:rsidRPr="00496BCE">
        <w:lastRenderedPageBreak/>
        <w:drawing>
          <wp:inline distT="0" distB="0" distL="0" distR="0" wp14:anchorId="015B0B1A" wp14:editId="524585BD">
            <wp:extent cx="2684835" cy="1698362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152" cy="17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E14B" w14:textId="40FFB0A6" w:rsidR="00496BCE" w:rsidRDefault="00496BCE" w:rsidP="00496BCE">
      <w:pPr>
        <w:pStyle w:val="a9"/>
        <w:jc w:val="center"/>
      </w:pPr>
      <w:r>
        <w:t xml:space="preserve">Figure 8 Avg. F1-score </w:t>
      </w:r>
      <w:r>
        <w:t>According To Embedding Vector Size</w:t>
      </w:r>
      <w:r>
        <w:t xml:space="preserve"> </w:t>
      </w:r>
      <w:proofErr w:type="gramStart"/>
      <w:r>
        <w:t>Plot(</w:t>
      </w:r>
      <w:proofErr w:type="gramEnd"/>
      <w:r>
        <w:t>Use Dense)</w:t>
      </w:r>
    </w:p>
    <w:p w14:paraId="004E867F" w14:textId="77777777" w:rsidR="00496BCE" w:rsidRPr="00496BCE" w:rsidRDefault="00496BCE" w:rsidP="00496BCE">
      <w:pPr>
        <w:rPr>
          <w:rFonts w:hint="eastAsia"/>
        </w:rPr>
      </w:pPr>
    </w:p>
    <w:p w14:paraId="52BE239F" w14:textId="77777777" w:rsidR="007F3728" w:rsidRDefault="007F3728" w:rsidP="007F3728">
      <w:pPr>
        <w:pStyle w:val="a9"/>
        <w:keepNext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Conv1d</w:t>
      </w:r>
      <w:r>
        <w:t xml:space="preserve"> </w:t>
      </w:r>
      <w:r>
        <w:rPr>
          <w:rFonts w:hint="eastAsia"/>
        </w:rPr>
        <w:t>DAE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Dense</w:t>
      </w:r>
      <w:r>
        <w:t xml:space="preserve"> </w:t>
      </w:r>
      <w:r>
        <w:rPr>
          <w:rFonts w:hint="eastAsia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503"/>
        <w:gridCol w:w="1503"/>
        <w:gridCol w:w="1503"/>
      </w:tblGrid>
      <w:tr w:rsidR="007F3728" w14:paraId="09741717" w14:textId="77777777" w:rsidTr="00435E17">
        <w:tc>
          <w:tcPr>
            <w:tcW w:w="1696" w:type="dxa"/>
            <w:vAlign w:val="center"/>
          </w:tcPr>
          <w:p w14:paraId="63697216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>Model</w:t>
            </w:r>
          </w:p>
        </w:tc>
        <w:tc>
          <w:tcPr>
            <w:tcW w:w="1308" w:type="dxa"/>
            <w:vAlign w:val="center"/>
          </w:tcPr>
          <w:p w14:paraId="5F4AA256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 xml:space="preserve">Embedding Vector Size </w:t>
            </w:r>
          </w:p>
        </w:tc>
        <w:tc>
          <w:tcPr>
            <w:tcW w:w="1503" w:type="dxa"/>
            <w:vAlign w:val="center"/>
          </w:tcPr>
          <w:p w14:paraId="4D42B01B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>Threshold</w:t>
            </w:r>
          </w:p>
        </w:tc>
        <w:tc>
          <w:tcPr>
            <w:tcW w:w="1503" w:type="dxa"/>
            <w:vAlign w:val="center"/>
          </w:tcPr>
          <w:p w14:paraId="126AE71C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>F1-score (</w:t>
            </w:r>
            <w:proofErr w:type="spellStart"/>
            <w:r>
              <w:t>Bruteforce</w:t>
            </w:r>
            <w:proofErr w:type="spellEnd"/>
            <w:r>
              <w:t>)</w:t>
            </w:r>
          </w:p>
        </w:tc>
        <w:tc>
          <w:tcPr>
            <w:tcW w:w="1503" w:type="dxa"/>
            <w:vAlign w:val="center"/>
          </w:tcPr>
          <w:p w14:paraId="2A30D4D8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>F1-score (Heartbleed)</w:t>
            </w:r>
          </w:p>
        </w:tc>
        <w:tc>
          <w:tcPr>
            <w:tcW w:w="1503" w:type="dxa"/>
            <w:vAlign w:val="center"/>
          </w:tcPr>
          <w:p w14:paraId="2E623ABC" w14:textId="77777777" w:rsidR="007F3728" w:rsidRDefault="007F3728" w:rsidP="007F3728">
            <w:pPr>
              <w:widowControl/>
              <w:wordWrap/>
              <w:autoSpaceDE/>
              <w:autoSpaceDN/>
            </w:pPr>
            <w:r>
              <w:t>Avg. F1-score</w:t>
            </w:r>
          </w:p>
        </w:tc>
      </w:tr>
      <w:tr w:rsidR="007F3728" w14:paraId="058D805B" w14:textId="77777777" w:rsidTr="00435E17">
        <w:tc>
          <w:tcPr>
            <w:tcW w:w="1696" w:type="dxa"/>
            <w:vAlign w:val="center"/>
          </w:tcPr>
          <w:p w14:paraId="45A68A32" w14:textId="77777777" w:rsidR="007F3728" w:rsidRDefault="007F3728" w:rsidP="007F3728">
            <w:r>
              <w:t xml:space="preserve">Conv1d </w:t>
            </w:r>
            <w:proofErr w:type="gramStart"/>
            <w:r>
              <w:t>DAE(</w:t>
            </w:r>
            <w:proofErr w:type="gramEnd"/>
            <w:r>
              <w:t>No Dense)</w:t>
            </w:r>
          </w:p>
        </w:tc>
        <w:tc>
          <w:tcPr>
            <w:tcW w:w="1308" w:type="dxa"/>
            <w:vAlign w:val="center"/>
          </w:tcPr>
          <w:p w14:paraId="21108CE3" w14:textId="77777777" w:rsidR="007F3728" w:rsidRDefault="007F3728" w:rsidP="007F3728">
            <w:r>
              <w:t>10</w:t>
            </w:r>
          </w:p>
        </w:tc>
        <w:tc>
          <w:tcPr>
            <w:tcW w:w="1503" w:type="dxa"/>
            <w:vAlign w:val="center"/>
          </w:tcPr>
          <w:p w14:paraId="12F9A973" w14:textId="77777777" w:rsidR="007F3728" w:rsidRDefault="007F3728" w:rsidP="007F3728">
            <w:r>
              <w:t>9.2*1e-5</w:t>
            </w:r>
          </w:p>
        </w:tc>
        <w:tc>
          <w:tcPr>
            <w:tcW w:w="1503" w:type="dxa"/>
            <w:vAlign w:val="center"/>
          </w:tcPr>
          <w:p w14:paraId="0EE6511C" w14:textId="77777777" w:rsidR="007F3728" w:rsidRDefault="007F3728" w:rsidP="007F3728">
            <w:r>
              <w:rPr>
                <w:rStyle w:val="aa"/>
              </w:rPr>
              <w:t>81.8%</w:t>
            </w:r>
          </w:p>
        </w:tc>
        <w:tc>
          <w:tcPr>
            <w:tcW w:w="1503" w:type="dxa"/>
            <w:vAlign w:val="center"/>
          </w:tcPr>
          <w:p w14:paraId="34C258B8" w14:textId="77777777" w:rsidR="007F3728" w:rsidRDefault="007F3728" w:rsidP="007F3728">
            <w:r>
              <w:t>79.1%</w:t>
            </w:r>
          </w:p>
        </w:tc>
        <w:tc>
          <w:tcPr>
            <w:tcW w:w="1503" w:type="dxa"/>
            <w:vAlign w:val="center"/>
          </w:tcPr>
          <w:p w14:paraId="1ED25181" w14:textId="77777777" w:rsidR="007F3728" w:rsidRDefault="007F3728" w:rsidP="007F3728">
            <w:r>
              <w:t>80.5%</w:t>
            </w:r>
          </w:p>
        </w:tc>
      </w:tr>
      <w:tr w:rsidR="007F3728" w14:paraId="2A40F23E" w14:textId="77777777" w:rsidTr="00435E17">
        <w:tc>
          <w:tcPr>
            <w:tcW w:w="1696" w:type="dxa"/>
            <w:vAlign w:val="center"/>
          </w:tcPr>
          <w:p w14:paraId="2081E945" w14:textId="77777777" w:rsidR="007F3728" w:rsidRDefault="007F3728" w:rsidP="007F3728">
            <w:r>
              <w:t xml:space="preserve">Conv1d </w:t>
            </w:r>
            <w:proofErr w:type="gramStart"/>
            <w:r>
              <w:t>DAE(</w:t>
            </w:r>
            <w:proofErr w:type="gramEnd"/>
            <w:r>
              <w:t>No Dense)</w:t>
            </w:r>
          </w:p>
        </w:tc>
        <w:tc>
          <w:tcPr>
            <w:tcW w:w="1308" w:type="dxa"/>
            <w:vAlign w:val="center"/>
          </w:tcPr>
          <w:p w14:paraId="32DEB71C" w14:textId="77777777" w:rsidR="007F3728" w:rsidRDefault="007F3728" w:rsidP="007F3728">
            <w:r>
              <w:t>20</w:t>
            </w:r>
          </w:p>
        </w:tc>
        <w:tc>
          <w:tcPr>
            <w:tcW w:w="1503" w:type="dxa"/>
            <w:vAlign w:val="center"/>
          </w:tcPr>
          <w:p w14:paraId="25238C1C" w14:textId="77777777" w:rsidR="007F3728" w:rsidRDefault="007F3728" w:rsidP="007F3728">
            <w:r>
              <w:t>2.95*1e-4</w:t>
            </w:r>
          </w:p>
        </w:tc>
        <w:tc>
          <w:tcPr>
            <w:tcW w:w="1503" w:type="dxa"/>
            <w:vAlign w:val="center"/>
          </w:tcPr>
          <w:p w14:paraId="5FC2C6F7" w14:textId="77777777" w:rsidR="007F3728" w:rsidRDefault="007F3728" w:rsidP="007F3728">
            <w:r>
              <w:t>80.3%</w:t>
            </w:r>
          </w:p>
        </w:tc>
        <w:tc>
          <w:tcPr>
            <w:tcW w:w="1503" w:type="dxa"/>
            <w:vAlign w:val="center"/>
          </w:tcPr>
          <w:p w14:paraId="4E57E5CB" w14:textId="77777777" w:rsidR="007F3728" w:rsidRDefault="007F3728" w:rsidP="007F3728">
            <w:r>
              <w:rPr>
                <w:rStyle w:val="aa"/>
              </w:rPr>
              <w:t>81.1%</w:t>
            </w:r>
          </w:p>
        </w:tc>
        <w:tc>
          <w:tcPr>
            <w:tcW w:w="1503" w:type="dxa"/>
            <w:vAlign w:val="center"/>
          </w:tcPr>
          <w:p w14:paraId="1D178473" w14:textId="77777777" w:rsidR="007F3728" w:rsidRDefault="007F3728" w:rsidP="007F3728">
            <w:r>
              <w:rPr>
                <w:rStyle w:val="aa"/>
              </w:rPr>
              <w:t>80.7%</w:t>
            </w:r>
          </w:p>
        </w:tc>
      </w:tr>
      <w:tr w:rsidR="007F3728" w14:paraId="0522F95D" w14:textId="77777777" w:rsidTr="00435E17">
        <w:tc>
          <w:tcPr>
            <w:tcW w:w="1696" w:type="dxa"/>
            <w:vAlign w:val="center"/>
          </w:tcPr>
          <w:p w14:paraId="1899EC6C" w14:textId="77777777" w:rsidR="007F3728" w:rsidRDefault="007F3728" w:rsidP="007F3728">
            <w:r>
              <w:t xml:space="preserve">Conv1d </w:t>
            </w:r>
            <w:proofErr w:type="gramStart"/>
            <w:r>
              <w:t>DAE(</w:t>
            </w:r>
            <w:proofErr w:type="gramEnd"/>
            <w:r>
              <w:t>No Dense)</w:t>
            </w:r>
          </w:p>
        </w:tc>
        <w:tc>
          <w:tcPr>
            <w:tcW w:w="1308" w:type="dxa"/>
            <w:vAlign w:val="center"/>
          </w:tcPr>
          <w:p w14:paraId="640FB20A" w14:textId="77777777" w:rsidR="007F3728" w:rsidRDefault="007F3728" w:rsidP="007F3728">
            <w:r>
              <w:t>30</w:t>
            </w:r>
          </w:p>
        </w:tc>
        <w:tc>
          <w:tcPr>
            <w:tcW w:w="1503" w:type="dxa"/>
            <w:vAlign w:val="center"/>
          </w:tcPr>
          <w:p w14:paraId="492E1C6C" w14:textId="77777777" w:rsidR="007F3728" w:rsidRDefault="007F3728" w:rsidP="007F3728">
            <w:r>
              <w:t>3*1e-5</w:t>
            </w:r>
          </w:p>
        </w:tc>
        <w:tc>
          <w:tcPr>
            <w:tcW w:w="1503" w:type="dxa"/>
            <w:vAlign w:val="center"/>
          </w:tcPr>
          <w:p w14:paraId="09053F91" w14:textId="77777777" w:rsidR="007F3728" w:rsidRDefault="007F3728" w:rsidP="007F3728">
            <w:r>
              <w:t>79.2%</w:t>
            </w:r>
          </w:p>
        </w:tc>
        <w:tc>
          <w:tcPr>
            <w:tcW w:w="1503" w:type="dxa"/>
            <w:vAlign w:val="center"/>
          </w:tcPr>
          <w:p w14:paraId="29645978" w14:textId="77777777" w:rsidR="007F3728" w:rsidRDefault="007F3728" w:rsidP="007F3728">
            <w:r>
              <w:t>24.2%</w:t>
            </w:r>
          </w:p>
        </w:tc>
        <w:tc>
          <w:tcPr>
            <w:tcW w:w="1503" w:type="dxa"/>
            <w:vAlign w:val="center"/>
          </w:tcPr>
          <w:p w14:paraId="09C9287D" w14:textId="77777777" w:rsidR="007F3728" w:rsidRDefault="007F3728" w:rsidP="007F3728">
            <w:r>
              <w:t>51.7%</w:t>
            </w:r>
          </w:p>
        </w:tc>
      </w:tr>
      <w:tr w:rsidR="007F3728" w14:paraId="0983C57E" w14:textId="77777777" w:rsidTr="00435E17">
        <w:tc>
          <w:tcPr>
            <w:tcW w:w="1696" w:type="dxa"/>
            <w:vAlign w:val="center"/>
          </w:tcPr>
          <w:p w14:paraId="29C50FDF" w14:textId="77777777" w:rsidR="007F3728" w:rsidRDefault="007F3728" w:rsidP="007F3728">
            <w:r>
              <w:t xml:space="preserve">Conv1d </w:t>
            </w:r>
            <w:proofErr w:type="gramStart"/>
            <w:r>
              <w:t>DAE(</w:t>
            </w:r>
            <w:proofErr w:type="gramEnd"/>
            <w:r>
              <w:t>No Dense)</w:t>
            </w:r>
          </w:p>
        </w:tc>
        <w:tc>
          <w:tcPr>
            <w:tcW w:w="1308" w:type="dxa"/>
            <w:vAlign w:val="center"/>
          </w:tcPr>
          <w:p w14:paraId="07FEA280" w14:textId="77777777" w:rsidR="007F3728" w:rsidRDefault="007F3728" w:rsidP="007F3728">
            <w:r>
              <w:t>40</w:t>
            </w:r>
          </w:p>
        </w:tc>
        <w:tc>
          <w:tcPr>
            <w:tcW w:w="1503" w:type="dxa"/>
            <w:vAlign w:val="center"/>
          </w:tcPr>
          <w:p w14:paraId="4EACBCB9" w14:textId="77777777" w:rsidR="007F3728" w:rsidRDefault="007F3728" w:rsidP="007F3728">
            <w:r>
              <w:t>9*1e-5</w:t>
            </w:r>
          </w:p>
        </w:tc>
        <w:tc>
          <w:tcPr>
            <w:tcW w:w="1503" w:type="dxa"/>
            <w:vAlign w:val="center"/>
          </w:tcPr>
          <w:p w14:paraId="53D0F633" w14:textId="77777777" w:rsidR="007F3728" w:rsidRDefault="007F3728" w:rsidP="007F3728">
            <w:r>
              <w:t>81.1%</w:t>
            </w:r>
          </w:p>
        </w:tc>
        <w:tc>
          <w:tcPr>
            <w:tcW w:w="1503" w:type="dxa"/>
            <w:vAlign w:val="center"/>
          </w:tcPr>
          <w:p w14:paraId="1281D913" w14:textId="77777777" w:rsidR="007F3728" w:rsidRDefault="007F3728" w:rsidP="007F3728">
            <w:r>
              <w:t>79.7%</w:t>
            </w:r>
          </w:p>
        </w:tc>
        <w:tc>
          <w:tcPr>
            <w:tcW w:w="1503" w:type="dxa"/>
            <w:vAlign w:val="center"/>
          </w:tcPr>
          <w:p w14:paraId="1A715983" w14:textId="77777777" w:rsidR="007F3728" w:rsidRDefault="007F3728" w:rsidP="007F3728">
            <w:r>
              <w:t>80.4%</w:t>
            </w:r>
          </w:p>
        </w:tc>
      </w:tr>
      <w:tr w:rsidR="007F3728" w14:paraId="552199A8" w14:textId="77777777" w:rsidTr="00435E17">
        <w:tc>
          <w:tcPr>
            <w:tcW w:w="1696" w:type="dxa"/>
            <w:vAlign w:val="center"/>
          </w:tcPr>
          <w:p w14:paraId="1F3C3084" w14:textId="77777777" w:rsidR="007F3728" w:rsidRDefault="007F3728" w:rsidP="007F3728">
            <w:r>
              <w:t xml:space="preserve">Conv1d </w:t>
            </w:r>
            <w:proofErr w:type="gramStart"/>
            <w:r>
              <w:t>DAE(</w:t>
            </w:r>
            <w:proofErr w:type="gramEnd"/>
            <w:r>
              <w:t>No Dense)</w:t>
            </w:r>
          </w:p>
        </w:tc>
        <w:tc>
          <w:tcPr>
            <w:tcW w:w="1308" w:type="dxa"/>
            <w:vAlign w:val="center"/>
          </w:tcPr>
          <w:p w14:paraId="631E0534" w14:textId="77777777" w:rsidR="007F3728" w:rsidRDefault="007F3728" w:rsidP="007F3728">
            <w:r>
              <w:t>50</w:t>
            </w:r>
          </w:p>
        </w:tc>
        <w:tc>
          <w:tcPr>
            <w:tcW w:w="1503" w:type="dxa"/>
            <w:vAlign w:val="center"/>
          </w:tcPr>
          <w:p w14:paraId="11BA8026" w14:textId="77777777" w:rsidR="007F3728" w:rsidRDefault="007F3728" w:rsidP="007F3728">
            <w:r>
              <w:t>2*1e-5</w:t>
            </w:r>
          </w:p>
        </w:tc>
        <w:tc>
          <w:tcPr>
            <w:tcW w:w="1503" w:type="dxa"/>
            <w:vAlign w:val="center"/>
          </w:tcPr>
          <w:p w14:paraId="3AD2E6A1" w14:textId="77777777" w:rsidR="007F3728" w:rsidRDefault="007F3728" w:rsidP="007F3728">
            <w:r>
              <w:t>75.0%</w:t>
            </w:r>
          </w:p>
        </w:tc>
        <w:tc>
          <w:tcPr>
            <w:tcW w:w="1503" w:type="dxa"/>
            <w:vAlign w:val="center"/>
          </w:tcPr>
          <w:p w14:paraId="47E68A80" w14:textId="77777777" w:rsidR="007F3728" w:rsidRDefault="007F3728" w:rsidP="007F3728">
            <w:r>
              <w:t>17.6%</w:t>
            </w:r>
          </w:p>
        </w:tc>
        <w:tc>
          <w:tcPr>
            <w:tcW w:w="1503" w:type="dxa"/>
            <w:vAlign w:val="center"/>
          </w:tcPr>
          <w:p w14:paraId="725C2C6F" w14:textId="77777777" w:rsidR="007F3728" w:rsidRDefault="007F3728" w:rsidP="007F3728">
            <w:r>
              <w:t>46.3%</w:t>
            </w:r>
          </w:p>
        </w:tc>
      </w:tr>
    </w:tbl>
    <w:p w14:paraId="05109B46" w14:textId="12DBEC8D" w:rsidR="007F3728" w:rsidRDefault="007F3728" w:rsidP="009D0C9A">
      <w:pPr>
        <w:jc w:val="left"/>
        <w:rPr>
          <w:rFonts w:hint="eastAsia"/>
        </w:rPr>
      </w:pPr>
    </w:p>
    <w:p w14:paraId="786EC5AD" w14:textId="77777777" w:rsidR="00496BCE" w:rsidRDefault="00496BCE" w:rsidP="00496BCE">
      <w:pPr>
        <w:keepNext/>
        <w:jc w:val="center"/>
      </w:pPr>
      <w:r w:rsidRPr="00496BCE">
        <w:drawing>
          <wp:inline distT="0" distB="0" distL="0" distR="0" wp14:anchorId="18BD4E70" wp14:editId="49B42CC0">
            <wp:extent cx="2490281" cy="187342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7589" cy="18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A7EE" w14:textId="2D3414B6" w:rsidR="00496BCE" w:rsidRDefault="00496BCE" w:rsidP="00496BCE">
      <w:pPr>
        <w:pStyle w:val="a9"/>
        <w:jc w:val="center"/>
        <w:rPr>
          <w:rFonts w:hint="eastAsia"/>
        </w:rPr>
      </w:pPr>
      <w:r>
        <w:t xml:space="preserve">Figure 9 </w:t>
      </w:r>
      <w:r>
        <w:t>F1-</w:t>
      </w:r>
      <w:proofErr w:type="gramStart"/>
      <w:r>
        <w:t>score(</w:t>
      </w:r>
      <w:proofErr w:type="spellStart"/>
      <w:proofErr w:type="gramEnd"/>
      <w:r>
        <w:t>BruteForce</w:t>
      </w:r>
      <w:proofErr w:type="spellEnd"/>
      <w:r>
        <w:t>)</w:t>
      </w:r>
      <w:r>
        <w:t xml:space="preserve"> </w:t>
      </w:r>
      <w:r>
        <w:t>According To Embedding Vector Size Plot(</w:t>
      </w:r>
      <w:r>
        <w:t>No</w:t>
      </w:r>
      <w:r>
        <w:t xml:space="preserve"> Dense)</w:t>
      </w:r>
    </w:p>
    <w:p w14:paraId="19575682" w14:textId="77777777" w:rsidR="00496BCE" w:rsidRDefault="00496BCE" w:rsidP="00496BCE">
      <w:pPr>
        <w:keepNext/>
        <w:jc w:val="center"/>
      </w:pPr>
      <w:r w:rsidRPr="00496BCE">
        <w:lastRenderedPageBreak/>
        <w:drawing>
          <wp:inline distT="0" distB="0" distL="0" distR="0" wp14:anchorId="773CC4D3" wp14:editId="0C0EF7E9">
            <wp:extent cx="2571345" cy="177043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582" cy="178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7CEC" w14:textId="499C2476" w:rsidR="00496BCE" w:rsidRPr="00496BCE" w:rsidRDefault="00496BCE" w:rsidP="00496BCE">
      <w:pPr>
        <w:pStyle w:val="a9"/>
        <w:jc w:val="center"/>
        <w:rPr>
          <w:rStyle w:val="notion-enable-hover"/>
          <w:rFonts w:hint="eastAsia"/>
        </w:rPr>
      </w:pPr>
      <w:r>
        <w:t>Figure 10</w:t>
      </w:r>
      <w:r w:rsidRPr="00496BCE">
        <w:t xml:space="preserve"> </w:t>
      </w:r>
      <w:r>
        <w:t>F1-</w:t>
      </w:r>
      <w:proofErr w:type="gramStart"/>
      <w:r>
        <w:t>score(</w:t>
      </w:r>
      <w:proofErr w:type="spellStart"/>
      <w:proofErr w:type="gramEnd"/>
      <w:r>
        <w:t>HeartBleed</w:t>
      </w:r>
      <w:proofErr w:type="spellEnd"/>
      <w:r>
        <w:t>)</w:t>
      </w:r>
      <w:r>
        <w:t xml:space="preserve"> </w:t>
      </w:r>
      <w:r>
        <w:t>According To Embedding Vector Size Plot(</w:t>
      </w:r>
      <w:r>
        <w:t>No</w:t>
      </w:r>
      <w:r>
        <w:t xml:space="preserve"> Dense)</w:t>
      </w:r>
    </w:p>
    <w:p w14:paraId="47E8FBAD" w14:textId="77777777" w:rsidR="00496BCE" w:rsidRDefault="00496BCE" w:rsidP="00496BCE">
      <w:pPr>
        <w:keepNext/>
        <w:jc w:val="center"/>
      </w:pPr>
      <w:r w:rsidRPr="00496BCE">
        <w:rPr>
          <w:rStyle w:val="notion-enable-hover"/>
          <w:b/>
          <w:bCs/>
          <w:sz w:val="24"/>
        </w:rPr>
        <w:drawing>
          <wp:inline distT="0" distB="0" distL="0" distR="0" wp14:anchorId="672630BF" wp14:editId="171D8A72">
            <wp:extent cx="2559861" cy="1867710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345" cy="18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B9F5" w14:textId="55CC8433" w:rsidR="00496BCE" w:rsidRDefault="00496BCE" w:rsidP="00496BCE">
      <w:pPr>
        <w:pStyle w:val="a9"/>
        <w:jc w:val="center"/>
        <w:rPr>
          <w:rStyle w:val="notion-enable-hover"/>
          <w:rFonts w:hint="eastAsia"/>
          <w:b w:val="0"/>
          <w:bCs w:val="0"/>
          <w:sz w:val="24"/>
        </w:rPr>
      </w:pPr>
      <w:r>
        <w:t xml:space="preserve">Figure 11 Avg. F1-score </w:t>
      </w:r>
      <w:r>
        <w:t xml:space="preserve">According To Embedding Vector Size </w:t>
      </w:r>
      <w:proofErr w:type="gramStart"/>
      <w:r>
        <w:t>Plot(</w:t>
      </w:r>
      <w:proofErr w:type="gramEnd"/>
      <w:r>
        <w:t>No</w:t>
      </w:r>
      <w:r>
        <w:t xml:space="preserve"> Dense)</w:t>
      </w:r>
    </w:p>
    <w:p w14:paraId="69218CB7" w14:textId="4D6CB97B" w:rsidR="007F3728" w:rsidRPr="007F3728" w:rsidRDefault="007F3728" w:rsidP="007F3728">
      <w:pPr>
        <w:jc w:val="left"/>
        <w:rPr>
          <w:rStyle w:val="notion-enable-hover"/>
          <w:b/>
          <w:bCs/>
          <w:sz w:val="24"/>
        </w:rPr>
      </w:pPr>
      <w:r w:rsidRPr="007F3728">
        <w:rPr>
          <w:rStyle w:val="notion-enable-hover"/>
          <w:b/>
          <w:bCs/>
          <w:sz w:val="24"/>
        </w:rPr>
        <w:t>참고문헌</w:t>
      </w:r>
    </w:p>
    <w:p w14:paraId="472042D7" w14:textId="77777777" w:rsidR="007F3728" w:rsidRPr="007F3728" w:rsidRDefault="007F3728" w:rsidP="007F3728">
      <w:pPr>
        <w:pStyle w:val="a8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[1]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박대경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, et al. "LID-DS 데이터 세트를 사용한 기계학습 알고리즘 비교 연구." </w:t>
      </w:r>
      <w:r w:rsidRPr="007F3728">
        <w:rPr>
          <w:rFonts w:asciiTheme="minorHAnsi" w:eastAsiaTheme="minorEastAsia" w:hAnsiTheme="minorHAnsi" w:cstheme="minorBidi"/>
          <w:i/>
          <w:iCs/>
          <w:kern w:val="2"/>
          <w:sz w:val="20"/>
          <w:szCs w:val="22"/>
        </w:rPr>
        <w:t>정보처리학회논문지/소프트웨어 및 데이터 공학 제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10.3 (2021): 3.</w:t>
      </w:r>
    </w:p>
    <w:p w14:paraId="3BB0FD56" w14:textId="77777777" w:rsidR="007F3728" w:rsidRPr="007F3728" w:rsidRDefault="007F3728" w:rsidP="007F3728">
      <w:pPr>
        <w:pStyle w:val="a8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[2]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박대경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, et al. "Few-Shot Learning 을 사용한 호스트 기반 침입 탐지 모델." </w:t>
      </w:r>
      <w:r w:rsidRPr="007F3728">
        <w:rPr>
          <w:rFonts w:asciiTheme="minorHAnsi" w:eastAsiaTheme="minorEastAsia" w:hAnsiTheme="minorHAnsi" w:cstheme="minorBidi"/>
          <w:i/>
          <w:iCs/>
          <w:kern w:val="2"/>
          <w:sz w:val="20"/>
          <w:szCs w:val="22"/>
        </w:rPr>
        <w:t>정보처리학회논문지. 소프트웨어 및 데이터 공학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10.7 (2021): 271-278.</w:t>
      </w:r>
    </w:p>
    <w:p w14:paraId="0FF38DCF" w14:textId="77777777" w:rsidR="007F3728" w:rsidRPr="007F3728" w:rsidRDefault="007F3728" w:rsidP="007F3728">
      <w:pPr>
        <w:pStyle w:val="a8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[3] Kim,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Czangyeob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, et al. "Intrusion detection based on sequential information preserving log embedding methods and anomaly detection algorithms." </w:t>
      </w:r>
      <w:r w:rsidRPr="007F3728">
        <w:rPr>
          <w:rFonts w:asciiTheme="minorHAnsi" w:eastAsiaTheme="minorEastAsia" w:hAnsiTheme="minorHAnsi" w:cstheme="minorBidi"/>
          <w:i/>
          <w:iCs/>
          <w:kern w:val="2"/>
          <w:sz w:val="20"/>
          <w:szCs w:val="22"/>
        </w:rPr>
        <w:t>IEEE Access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9 (2021): 58088-58101.</w:t>
      </w:r>
    </w:p>
    <w:p w14:paraId="0D93EF35" w14:textId="77777777" w:rsidR="007F3728" w:rsidRPr="007F3728" w:rsidRDefault="007F3728" w:rsidP="007F3728">
      <w:pPr>
        <w:pStyle w:val="a8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[4]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김미르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계효선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권민혜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. (2022). 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“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오토인코더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모델의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은닉층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정보를 활용한 네트워크 이상탐지 시스템.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”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한국통신학회논문지, 47(9), 1310-1321.</w:t>
      </w:r>
    </w:p>
    <w:p w14:paraId="7F4C6FC9" w14:textId="77777777" w:rsidR="007F3728" w:rsidRPr="007F3728" w:rsidRDefault="007F3728" w:rsidP="007F3728">
      <w:pPr>
        <w:pStyle w:val="a8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[5] 강건하,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손정모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심건우. (2021). 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“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오토인코더를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사용한 이상탐지 모델의 비교분석 및 이상치 판별 기준 제안.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”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한국컴퓨터정보학회논문지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, 26(8), 23-30.</w:t>
      </w:r>
    </w:p>
    <w:p w14:paraId="32696051" w14:textId="77777777" w:rsidR="007F3728" w:rsidRPr="007F3728" w:rsidRDefault="007F3728" w:rsidP="007F3728">
      <w:pPr>
        <w:pStyle w:val="a8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[6] 안주현, 윤태준, 김남기,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박준표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왕지남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. (2022). 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“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CNN, LSTM기반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오토인코더를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이용한 공정 사이클 이상 패턴 탐지.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”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대한산업공학회 춘계공동학술대회 논문집, (), 4014-4019.</w:t>
      </w:r>
    </w:p>
    <w:p w14:paraId="0FA0C54B" w14:textId="77777777" w:rsidR="007F3728" w:rsidRPr="007F3728" w:rsidRDefault="007F3728" w:rsidP="007F3728">
      <w:pPr>
        <w:pStyle w:val="a8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lastRenderedPageBreak/>
        <w:t xml:space="preserve">[7] 서재현. (2017). 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“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기계학습 방법에 기반 한 불균형 침입탐지 데이터 분류법의 성능평가에 관한 연구.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”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한국지능시스템학회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논문지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, 27(5), 466-474.</w:t>
      </w:r>
    </w:p>
    <w:p w14:paraId="25BD74C3" w14:textId="77777777" w:rsidR="007F3728" w:rsidRPr="007F3728" w:rsidRDefault="007F3728" w:rsidP="007F3728">
      <w:pPr>
        <w:pStyle w:val="a8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[8] 서재현. (2018). 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“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딥러닝 기반 불균형 침입탐지 데이터 분류에 관한 비교 연구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.” 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한국지능시스템학회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논문지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, 28(2), 152-159.</w:t>
      </w:r>
    </w:p>
    <w:p w14:paraId="70351E40" w14:textId="77777777" w:rsidR="007F3728" w:rsidRPr="007F3728" w:rsidRDefault="007F3728" w:rsidP="007F3728">
      <w:pPr>
        <w:pStyle w:val="a8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[9]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김도우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구명완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. (2017). 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“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Doc2Vec과 Word2Vec을 활용한 Convolutional Neural Network 기반 한국어 신문 기사 분류.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”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정보과학회논문지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, 44(7), 742-747.</w:t>
      </w:r>
    </w:p>
    <w:p w14:paraId="40D66D0B" w14:textId="77777777" w:rsidR="007F3728" w:rsidRPr="007F3728" w:rsidRDefault="007F3728" w:rsidP="007F3728">
      <w:pPr>
        <w:pStyle w:val="a8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[10]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심재승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이재준,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정이태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, 안현철. (2020). 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“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워드 </w:t>
      </w:r>
      <w:proofErr w:type="spellStart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>임베딩을</w:t>
      </w:r>
      <w:proofErr w:type="spellEnd"/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활용한 한국어 가짜뉴스 탐지 모델에 관한 연구.</w:t>
      </w:r>
      <w:r>
        <w:rPr>
          <w:rFonts w:asciiTheme="minorHAnsi" w:eastAsiaTheme="minorEastAsia" w:hAnsiTheme="minorHAnsi" w:cstheme="minorBidi"/>
          <w:kern w:val="2"/>
          <w:sz w:val="20"/>
          <w:szCs w:val="22"/>
        </w:rPr>
        <w:t>”</w:t>
      </w:r>
      <w:r w:rsidRPr="007F3728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한국컴퓨터정보학회 학술발표논문집 , 28(2), 199-202.</w:t>
      </w:r>
    </w:p>
    <w:p w14:paraId="7D221922" w14:textId="77777777" w:rsidR="007F3728" w:rsidRPr="007F3728" w:rsidRDefault="007F3728" w:rsidP="009D0C9A">
      <w:pPr>
        <w:jc w:val="left"/>
      </w:pPr>
    </w:p>
    <w:sectPr w:rsidR="007F3728" w:rsidRPr="007F37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D7E89"/>
    <w:multiLevelType w:val="multilevel"/>
    <w:tmpl w:val="468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33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00E"/>
    <w:rsid w:val="0027254E"/>
    <w:rsid w:val="0049300E"/>
    <w:rsid w:val="00496BCE"/>
    <w:rsid w:val="006A5B0F"/>
    <w:rsid w:val="007F3728"/>
    <w:rsid w:val="009D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590A"/>
  <w15:chartTrackingRefBased/>
  <w15:docId w15:val="{DFE2BBA8-2BC1-4D69-B469-8647459D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9300E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49300E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49300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9300E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49300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930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9300E"/>
    <w:rPr>
      <w:rFonts w:asciiTheme="majorHAnsi" w:eastAsiaTheme="majorEastAsia" w:hAnsiTheme="majorHAnsi" w:cstheme="majorBidi"/>
      <w:sz w:val="18"/>
      <w:szCs w:val="18"/>
    </w:rPr>
  </w:style>
  <w:style w:type="character" w:customStyle="1" w:styleId="notion-enable-hover">
    <w:name w:val="notion-enable-hover"/>
    <w:basedOn w:val="a0"/>
    <w:rsid w:val="0049300E"/>
  </w:style>
  <w:style w:type="table" w:styleId="a7">
    <w:name w:val="Table Grid"/>
    <w:basedOn w:val="a1"/>
    <w:uiPriority w:val="39"/>
    <w:rsid w:val="00493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D0C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9D0C9A"/>
    <w:rPr>
      <w:b/>
      <w:bCs/>
      <w:szCs w:val="20"/>
    </w:rPr>
  </w:style>
  <w:style w:type="character" w:styleId="aa">
    <w:name w:val="Strong"/>
    <w:basedOn w:val="a0"/>
    <w:uiPriority w:val="22"/>
    <w:qFormat/>
    <w:rsid w:val="007F3728"/>
    <w:rPr>
      <w:b/>
      <w:bCs/>
    </w:rPr>
  </w:style>
  <w:style w:type="character" w:styleId="ab">
    <w:name w:val="Emphasis"/>
    <w:basedOn w:val="a0"/>
    <w:uiPriority w:val="20"/>
    <w:qFormat/>
    <w:rsid w:val="007F37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김 동환</cp:lastModifiedBy>
  <cp:revision>3</cp:revision>
  <dcterms:created xsi:type="dcterms:W3CDTF">2022-12-07T03:13:00Z</dcterms:created>
  <dcterms:modified xsi:type="dcterms:W3CDTF">2022-12-14T17:50:00Z</dcterms:modified>
</cp:coreProperties>
</file>